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3"/>
      </w:tblGrid>
      <w:tr w:rsidR="00E041AB" w:rsidRPr="001A4E99" w:rsidTr="00E041AB">
        <w:tc>
          <w:tcPr>
            <w:tcW w:w="10485" w:type="dxa"/>
            <w:gridSpan w:val="2"/>
          </w:tcPr>
          <w:p w:rsidR="00E041AB" w:rsidRPr="001A4E99" w:rsidRDefault="00E041AB" w:rsidP="00E041AB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bCs/>
                <w:sz w:val="36"/>
                <w:szCs w:val="36"/>
              </w:rPr>
            </w:pPr>
            <w:r w:rsidRPr="00F8618B">
              <w:rPr>
                <w:b/>
                <w:bCs/>
                <w:sz w:val="36"/>
                <w:szCs w:val="36"/>
              </w:rPr>
              <w:t>8.9. Учет сведений о торговых объектах, объектах общественного питания, бытового обслуживания, формах торговли</w:t>
            </w:r>
          </w:p>
          <w:p w:rsidR="00F8618B" w:rsidRDefault="00F8618B" w:rsidP="00E041AB">
            <w:pPr>
              <w:spacing w:line="280" w:lineRule="exact"/>
              <w:jc w:val="center"/>
              <w:rPr>
                <w:b/>
                <w:bCs/>
                <w:sz w:val="30"/>
                <w:szCs w:val="30"/>
              </w:rPr>
            </w:pPr>
          </w:p>
          <w:p w:rsidR="00E041AB" w:rsidRDefault="00E041AB" w:rsidP="00E041AB">
            <w:pPr>
              <w:spacing w:line="280" w:lineRule="exact"/>
              <w:jc w:val="center"/>
              <w:rPr>
                <w:b/>
                <w:bCs/>
                <w:sz w:val="30"/>
                <w:szCs w:val="30"/>
              </w:rPr>
            </w:pPr>
            <w:r w:rsidRPr="001611FE">
              <w:rPr>
                <w:b/>
                <w:bCs/>
                <w:sz w:val="30"/>
                <w:szCs w:val="30"/>
              </w:rPr>
              <w:t>8.9.1. 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</w:p>
          <w:p w:rsidR="00E041AB" w:rsidRDefault="00E041AB" w:rsidP="00E041A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</w:rPr>
              <w:t xml:space="preserve">в </w:t>
            </w:r>
            <w:r w:rsidRPr="00F8618B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F8618B">
              <w:rPr>
                <w:b/>
                <w:sz w:val="28"/>
                <w:szCs w:val="28"/>
                <w:u w:val="single"/>
              </w:rPr>
              <w:t>Россонского</w:t>
            </w:r>
            <w:proofErr w:type="spellEnd"/>
            <w:r w:rsidRPr="00F8618B">
              <w:rPr>
                <w:b/>
                <w:sz w:val="28"/>
                <w:szCs w:val="28"/>
                <w:u w:val="single"/>
              </w:rPr>
              <w:t xml:space="preserve"> районного исполнительного комитета </w:t>
            </w:r>
          </w:p>
          <w:p w:rsidR="00E041AB" w:rsidRPr="00F8618B" w:rsidRDefault="00E041AB" w:rsidP="00E041AB">
            <w:pPr>
              <w:jc w:val="center"/>
              <w:rPr>
                <w:b/>
                <w:bCs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r w:rsidRPr="00F8618B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E041A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F8618B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1A4E99" w:rsidTr="00E041AB">
        <w:tc>
          <w:tcPr>
            <w:tcW w:w="4112" w:type="dxa"/>
          </w:tcPr>
          <w:p w:rsidR="00F8618B" w:rsidRPr="00262CD1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 xml:space="preserve">Документы и (или) </w:t>
            </w:r>
          </w:p>
          <w:p w:rsidR="00F8618B" w:rsidRPr="006215F3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>сведения,</w:t>
            </w:r>
            <w:r>
              <w:rPr>
                <w:b/>
                <w:color w:val="0000FF"/>
                <w:sz w:val="30"/>
                <w:szCs w:val="30"/>
              </w:rPr>
              <w:t xml:space="preserve"> необходимые для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 осуществления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представляемые заинтересованным лицом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E041AB" w:rsidRPr="00F8618B" w:rsidRDefault="00F8618B" w:rsidP="00E041AB">
            <w:pPr>
              <w:pStyle w:val="table10"/>
              <w:rPr>
                <w:sz w:val="28"/>
                <w:szCs w:val="28"/>
              </w:rPr>
            </w:pPr>
            <w:r w:rsidRPr="00F8618B">
              <w:rPr>
                <w:sz w:val="28"/>
                <w:szCs w:val="28"/>
              </w:rPr>
              <w:t>у</w:t>
            </w:r>
            <w:r w:rsidR="00E041AB" w:rsidRPr="00F8618B">
              <w:rPr>
                <w:sz w:val="28"/>
                <w:szCs w:val="28"/>
              </w:rPr>
              <w:t xml:space="preserve">ведомление по формам </w:t>
            </w:r>
          </w:p>
        </w:tc>
      </w:tr>
      <w:tr w:rsidR="00F8618B" w:rsidRPr="001A4E99" w:rsidTr="00E041AB">
        <w:tc>
          <w:tcPr>
            <w:tcW w:w="4112" w:type="dxa"/>
          </w:tcPr>
          <w:p w:rsidR="00F8618B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 xml:space="preserve">Документы и (или) сведения, </w:t>
            </w:r>
            <w:r>
              <w:rPr>
                <w:b/>
                <w:color w:val="0000FF"/>
                <w:sz w:val="30"/>
                <w:szCs w:val="30"/>
              </w:rPr>
              <w:t>необходимые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для </w:t>
            </w:r>
            <w:r>
              <w:rPr>
                <w:b/>
                <w:color w:val="0000FF"/>
                <w:sz w:val="30"/>
                <w:szCs w:val="30"/>
              </w:rPr>
              <w:t>о</w:t>
            </w:r>
            <w:r w:rsidRPr="00262CD1">
              <w:rPr>
                <w:b/>
                <w:color w:val="0000FF"/>
                <w:sz w:val="30"/>
                <w:szCs w:val="30"/>
              </w:rPr>
              <w:t>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запрашиваемые </w:t>
            </w:r>
            <w:r>
              <w:rPr>
                <w:b/>
                <w:color w:val="0000FF"/>
                <w:sz w:val="30"/>
                <w:szCs w:val="30"/>
              </w:rPr>
              <w:t>(получаемые) уполномоченным органом самостоятельно</w:t>
            </w:r>
          </w:p>
          <w:p w:rsidR="00F8618B" w:rsidRPr="00262CD1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F8618B" w:rsidRPr="00F8618B" w:rsidRDefault="00F8618B" w:rsidP="00F8618B">
            <w:pPr>
              <w:pStyle w:val="table10"/>
              <w:rPr>
                <w:sz w:val="28"/>
                <w:szCs w:val="28"/>
              </w:rPr>
            </w:pPr>
            <w:r w:rsidRPr="00F8618B">
              <w:rPr>
                <w:sz w:val="28"/>
                <w:szCs w:val="28"/>
              </w:rPr>
              <w:t xml:space="preserve">сведения, предусмотренные в абзаце третьем части первой подпункта 8.1 пункта 8 Положения о Торговом реестре Республики Беларусь </w:t>
            </w:r>
            <w:r w:rsidRPr="00F8618B">
              <w:rPr>
                <w:i/>
                <w:sz w:val="28"/>
                <w:szCs w:val="28"/>
              </w:rPr>
              <w:t>(государственный информационный ресурс «Государственный реестр плательщиков (иных обязанных лиц)»</w:t>
            </w:r>
          </w:p>
          <w:p w:rsidR="00F8618B" w:rsidRPr="00F8618B" w:rsidRDefault="00F8618B" w:rsidP="00F8618B">
            <w:pPr>
              <w:pStyle w:val="table10"/>
              <w:rPr>
                <w:sz w:val="28"/>
                <w:szCs w:val="28"/>
              </w:rPr>
            </w:pPr>
          </w:p>
          <w:p w:rsidR="00F8618B" w:rsidRPr="00F8618B" w:rsidRDefault="00F8618B" w:rsidP="00F8618B">
            <w:pPr>
              <w:pStyle w:val="table10"/>
              <w:rPr>
                <w:sz w:val="28"/>
                <w:szCs w:val="28"/>
              </w:rPr>
            </w:pPr>
            <w:r w:rsidRPr="00F8618B">
              <w:rPr>
                <w:sz w:val="28"/>
                <w:szCs w:val="28"/>
              </w:rPr>
              <w:t xml:space="preserve"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 </w:t>
            </w:r>
            <w:r w:rsidRPr="00F8618B">
              <w:rPr>
                <w:i/>
                <w:sz w:val="28"/>
                <w:szCs w:val="28"/>
              </w:rPr>
              <w:t>(автоматизированная информационная система Единого государственного регистра юридических лиц и индивидуальных предпринимателей</w:t>
            </w:r>
            <w:r w:rsidRPr="00F8618B">
              <w:rPr>
                <w:sz w:val="28"/>
                <w:szCs w:val="28"/>
              </w:rPr>
              <w:t>)</w:t>
            </w:r>
          </w:p>
          <w:p w:rsidR="00F8618B" w:rsidRPr="00F8618B" w:rsidRDefault="00F8618B" w:rsidP="00E041AB">
            <w:pPr>
              <w:pStyle w:val="table10"/>
              <w:rPr>
                <w:sz w:val="28"/>
                <w:szCs w:val="28"/>
              </w:rPr>
            </w:pPr>
          </w:p>
        </w:tc>
      </w:tr>
      <w:tr w:rsidR="00E041AB" w:rsidRPr="001A4E99" w:rsidTr="00E041AB">
        <w:tc>
          <w:tcPr>
            <w:tcW w:w="4112" w:type="dxa"/>
          </w:tcPr>
          <w:p w:rsidR="00F8618B" w:rsidRDefault="00F8618B" w:rsidP="00F8618B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FF"/>
                <w:sz w:val="30"/>
                <w:szCs w:val="30"/>
              </w:rPr>
              <w:t>Вид п</w:t>
            </w:r>
            <w:r w:rsidRPr="00262CD1">
              <w:rPr>
                <w:b/>
                <w:color w:val="0000FF"/>
                <w:sz w:val="30"/>
                <w:szCs w:val="30"/>
              </w:rPr>
              <w:t>латы</w:t>
            </w:r>
            <w:r>
              <w:rPr>
                <w:b/>
                <w:color w:val="0000FF"/>
                <w:sz w:val="30"/>
                <w:szCs w:val="30"/>
              </w:rPr>
              <w:t>, взимаемой при осуществлении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041AB" w:rsidRPr="006215F3" w:rsidRDefault="00E041AB" w:rsidP="00E041AB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41AB" w:rsidRPr="00F8618B" w:rsidRDefault="00E041AB" w:rsidP="00E041AB">
            <w:pPr>
              <w:pStyle w:val="table10"/>
              <w:rPr>
                <w:sz w:val="28"/>
                <w:szCs w:val="28"/>
              </w:rPr>
            </w:pPr>
            <w:r>
              <w:t xml:space="preserve"> </w:t>
            </w:r>
            <w:r w:rsidRPr="00F8618B">
              <w:rPr>
                <w:sz w:val="28"/>
                <w:szCs w:val="28"/>
              </w:rPr>
              <w:t>бесплатно</w:t>
            </w:r>
          </w:p>
        </w:tc>
      </w:tr>
      <w:tr w:rsidR="00E041AB" w:rsidRPr="001A4E99" w:rsidTr="00E041AB">
        <w:trPr>
          <w:trHeight w:val="1132"/>
        </w:trPr>
        <w:tc>
          <w:tcPr>
            <w:tcW w:w="4112" w:type="dxa"/>
          </w:tcPr>
          <w:p w:rsidR="00E041AB" w:rsidRPr="006215F3" w:rsidRDefault="00F8618B" w:rsidP="00F8618B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lastRenderedPageBreak/>
              <w:t>С</w:t>
            </w:r>
            <w:r w:rsidRPr="00262CD1">
              <w:rPr>
                <w:b/>
                <w:color w:val="0000FF"/>
                <w:sz w:val="30"/>
                <w:szCs w:val="30"/>
              </w:rPr>
              <w:t>рок осуществления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41AB" w:rsidRPr="00F8618B" w:rsidRDefault="00F8618B" w:rsidP="00F8618B">
            <w:pPr>
              <w:pStyle w:val="table10"/>
              <w:rPr>
                <w:sz w:val="28"/>
                <w:szCs w:val="28"/>
              </w:rPr>
            </w:pPr>
            <w:r w:rsidRPr="00F8618B">
              <w:rPr>
                <w:sz w:val="28"/>
                <w:szCs w:val="28"/>
              </w:rPr>
              <w:t>3</w:t>
            </w:r>
            <w:r w:rsidR="00E041AB" w:rsidRPr="00F8618B">
              <w:rPr>
                <w:sz w:val="28"/>
                <w:szCs w:val="28"/>
              </w:rPr>
              <w:t xml:space="preserve"> рабочих дн</w:t>
            </w:r>
            <w:r w:rsidRPr="00F8618B">
              <w:rPr>
                <w:sz w:val="28"/>
                <w:szCs w:val="28"/>
              </w:rPr>
              <w:t>я</w:t>
            </w:r>
          </w:p>
        </w:tc>
      </w:tr>
      <w:tr w:rsidR="00E041AB" w:rsidRPr="001A4E99" w:rsidTr="00E041AB">
        <w:tc>
          <w:tcPr>
            <w:tcW w:w="4112" w:type="dxa"/>
          </w:tcPr>
          <w:p w:rsidR="00E041AB" w:rsidRPr="006215F3" w:rsidRDefault="00F8618B" w:rsidP="00F8618B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Срок действия справки или иного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gramStart"/>
            <w:r w:rsidRPr="00262CD1">
              <w:rPr>
                <w:b/>
                <w:color w:val="0000FF"/>
                <w:sz w:val="30"/>
                <w:szCs w:val="30"/>
              </w:rPr>
              <w:t>документа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 выдаваем</w:t>
            </w:r>
            <w:r>
              <w:rPr>
                <w:b/>
                <w:color w:val="0000FF"/>
                <w:sz w:val="30"/>
                <w:szCs w:val="30"/>
              </w:rPr>
              <w:t>ого</w:t>
            </w:r>
            <w:proofErr w:type="gramEnd"/>
            <w:r w:rsidRPr="00262CD1">
              <w:rPr>
                <w:b/>
                <w:color w:val="0000FF"/>
                <w:sz w:val="30"/>
                <w:szCs w:val="30"/>
              </w:rPr>
              <w:t xml:space="preserve"> (принимаемого</w:t>
            </w:r>
            <w:r>
              <w:rPr>
                <w:b/>
                <w:color w:val="0000FF"/>
                <w:sz w:val="30"/>
                <w:szCs w:val="30"/>
              </w:rPr>
              <w:t>, согласовываемого, утверждаемого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) </w:t>
            </w:r>
            <w:r>
              <w:rPr>
                <w:b/>
                <w:color w:val="0000FF"/>
                <w:sz w:val="30"/>
                <w:szCs w:val="30"/>
              </w:rPr>
              <w:t xml:space="preserve">уполномоченным органом по результатам </w:t>
            </w:r>
            <w:r w:rsidRPr="00262CD1">
              <w:rPr>
                <w:b/>
                <w:color w:val="0000FF"/>
                <w:sz w:val="30"/>
                <w:szCs w:val="30"/>
              </w:rPr>
              <w:t>осуществлении административной процедуры</w:t>
            </w:r>
            <w:r>
              <w:t xml:space="preserve">  </w:t>
            </w:r>
            <w:r w:rsidRPr="006215F3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6373" w:type="dxa"/>
          </w:tcPr>
          <w:p w:rsidR="00E041AB" w:rsidRPr="00F8618B" w:rsidRDefault="00E041AB" w:rsidP="00E041AB">
            <w:pPr>
              <w:spacing w:line="280" w:lineRule="exact"/>
              <w:rPr>
                <w:sz w:val="28"/>
                <w:szCs w:val="28"/>
              </w:rPr>
            </w:pPr>
          </w:p>
          <w:p w:rsidR="00E041AB" w:rsidRPr="00F8618B" w:rsidRDefault="00E041AB" w:rsidP="00E041AB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F8618B">
              <w:rPr>
                <w:sz w:val="28"/>
                <w:szCs w:val="28"/>
              </w:rPr>
              <w:t>бессрочно</w:t>
            </w:r>
          </w:p>
        </w:tc>
      </w:tr>
    </w:tbl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</w:p>
    <w:p w:rsidR="00E041AB" w:rsidRDefault="00E041A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F8618B">
      <w:pPr>
        <w:pStyle w:val="newncpi0"/>
        <w:shd w:val="clear" w:color="auto" w:fill="FFFFFF"/>
        <w:spacing w:before="160" w:after="160"/>
        <w:jc w:val="center"/>
        <w:rPr>
          <w:color w:val="000000"/>
        </w:rPr>
      </w:pPr>
      <w:r>
        <w:rPr>
          <w:i/>
          <w:sz w:val="28"/>
        </w:rPr>
        <w:t xml:space="preserve">Примечание: Регламент </w:t>
      </w:r>
      <w:proofErr w:type="gramStart"/>
      <w:r>
        <w:rPr>
          <w:i/>
          <w:sz w:val="28"/>
        </w:rPr>
        <w:t xml:space="preserve">данной </w:t>
      </w:r>
      <w:r>
        <w:rPr>
          <w:i/>
          <w:sz w:val="28"/>
          <w:szCs w:val="20"/>
          <w:shd w:val="clear" w:color="auto" w:fill="FFFFFF"/>
        </w:rPr>
        <w:t> административной</w:t>
      </w:r>
      <w:proofErr w:type="gramEnd"/>
      <w:r>
        <w:rPr>
          <w:i/>
          <w:sz w:val="28"/>
          <w:szCs w:val="20"/>
          <w:shd w:val="clear" w:color="auto" w:fill="FFFFFF"/>
        </w:rPr>
        <w:t xml:space="preserve"> процедуры утвержден постановлением Министерства антимонопольного регулирования и торговли Республики Беларусь от 12 января 2022 г. № 5</w:t>
      </w:r>
      <w:r>
        <w:rPr>
          <w:color w:val="000000"/>
        </w:rPr>
        <w:t> </w:t>
      </w:r>
    </w:p>
    <w:p w:rsidR="00F8618B" w:rsidRDefault="00F8618B" w:rsidP="00F8618B">
      <w:pPr>
        <w:spacing w:after="60" w:line="240" w:lineRule="exact"/>
        <w:ind w:firstLine="708"/>
        <w:jc w:val="both"/>
        <w:rPr>
          <w:spacing w:val="-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1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45"/>
        <w:gridCol w:w="1097"/>
        <w:gridCol w:w="163"/>
        <w:gridCol w:w="1855"/>
        <w:gridCol w:w="608"/>
        <w:gridCol w:w="165"/>
        <w:gridCol w:w="1070"/>
        <w:gridCol w:w="324"/>
        <w:gridCol w:w="1238"/>
        <w:gridCol w:w="918"/>
      </w:tblGrid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область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lastRenderedPageBreak/>
              <w:t>в зависимости от 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кв. м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041AB" w:rsidRDefault="00E041AB" w:rsidP="00E041AB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041AB" w:rsidRDefault="00E041AB" w:rsidP="00E041AB">
      <w:pPr>
        <w:pStyle w:val="snoski"/>
      </w:pPr>
      <w:r>
        <w:rPr>
          <w:vertAlign w:val="superscript"/>
        </w:rPr>
        <w:t>3 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E041AB" w:rsidRDefault="00E041AB" w:rsidP="00E041AB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E041AB" w:rsidRDefault="00E041AB" w:rsidP="00E041AB">
      <w:pPr>
        <w:pStyle w:val="snoski"/>
      </w:pPr>
      <w:r>
        <w:rPr>
          <w:vertAlign w:val="superscript"/>
        </w:rPr>
        <w:t>5 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6 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2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палатке, тележке, лотке, корзине, торговом автомате и ином приспособлении, передвижном торговом объекте</w:t>
      </w:r>
    </w:p>
    <w:p w:rsidR="00E041AB" w:rsidRDefault="00E041AB" w:rsidP="00E041AB">
      <w:pPr>
        <w:pStyle w:val="newncpi"/>
      </w:pPr>
      <w:r>
        <w:lastRenderedPageBreak/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389"/>
        <w:gridCol w:w="318"/>
        <w:gridCol w:w="1855"/>
        <w:gridCol w:w="157"/>
        <w:gridCol w:w="769"/>
        <w:gridCol w:w="1107"/>
        <w:gridCol w:w="2288"/>
      </w:tblGrid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область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041AB" w:rsidRDefault="00E041AB" w:rsidP="00E041AB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041AB" w:rsidRDefault="00E041AB" w:rsidP="00E041AB">
      <w:pPr>
        <w:pStyle w:val="snoski"/>
      </w:pPr>
      <w:r>
        <w:rPr>
          <w:vertAlign w:val="superscript"/>
        </w:rPr>
        <w:t>3 </w:t>
      </w:r>
      <w:r>
        <w:t xml:space="preserve"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:rsidR="00E041AB" w:rsidRDefault="00E041AB" w:rsidP="00E041AB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lastRenderedPageBreak/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3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291"/>
        <w:gridCol w:w="3507"/>
      </w:tblGrid>
      <w:tr w:rsidR="00E041AB" w:rsidTr="00446E84">
        <w:trPr>
          <w:trHeight w:val="238"/>
        </w:trPr>
        <w:tc>
          <w:tcPr>
            <w:tcW w:w="328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Форма розничной торговли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В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4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lastRenderedPageBreak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lastRenderedPageBreak/>
        <w:t> </w:t>
      </w:r>
    </w:p>
    <w:p w:rsidR="00E041AB" w:rsidRDefault="00E041AB" w:rsidP="00E041AB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2318"/>
        <w:gridCol w:w="620"/>
        <w:gridCol w:w="3550"/>
      </w:tblGrid>
      <w:tr w:rsidR="00E041AB" w:rsidTr="00446E84">
        <w:trPr>
          <w:trHeight w:val="238"/>
        </w:trPr>
        <w:tc>
          <w:tcPr>
            <w:tcW w:w="295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5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lastRenderedPageBreak/>
        <w:t>УВЕДОМЛЕНИЕ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3399"/>
        <w:gridCol w:w="3089"/>
      </w:tblGrid>
      <w:tr w:rsidR="00E041AB" w:rsidTr="00446E84">
        <w:trPr>
          <w:trHeight w:val="238"/>
        </w:trPr>
        <w:tc>
          <w:tcPr>
            <w:tcW w:w="348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6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 (за исключением передвижных объектов общественного питания)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1086"/>
        <w:gridCol w:w="773"/>
        <w:gridCol w:w="1648"/>
        <w:gridCol w:w="198"/>
        <w:gridCol w:w="455"/>
        <w:gridCol w:w="781"/>
        <w:gridCol w:w="1236"/>
        <w:gridCol w:w="761"/>
        <w:gridCol w:w="946"/>
      </w:tblGrid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lastRenderedPageBreak/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9. Наименование сети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10. Место нахождения объекта общественного питания: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11. Тип объекта общественного питания</w:t>
            </w:r>
            <w:r>
              <w:rPr>
                <w:vertAlign w:val="superscript"/>
              </w:rPr>
              <w:t>4</w:t>
            </w:r>
            <w:r>
              <w:t xml:space="preserve">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12. Количество мест в объекте общественного питания (при наличии):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</w:tr>
      <w:tr w:rsidR="00E041AB" w:rsidTr="00446E84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13.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</w:t>
            </w:r>
          </w:p>
        </w:tc>
      </w:tr>
      <w:tr w:rsidR="00E041AB" w:rsidTr="00446E84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041AB" w:rsidRDefault="00E041AB" w:rsidP="00E041AB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041AB" w:rsidRDefault="00E041AB" w:rsidP="00E041AB">
      <w:pPr>
        <w:pStyle w:val="snoski"/>
      </w:pPr>
      <w:r>
        <w:rPr>
          <w:vertAlign w:val="superscript"/>
        </w:rPr>
        <w:t>3 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E041AB" w:rsidRDefault="00E041AB" w:rsidP="00E041AB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lastRenderedPageBreak/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7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138"/>
        <w:gridCol w:w="1089"/>
        <w:gridCol w:w="922"/>
        <w:gridCol w:w="913"/>
        <w:gridCol w:w="2808"/>
        <w:gridCol w:w="610"/>
      </w:tblGrid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lastRenderedPageBreak/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</w:tr>
      <w:tr w:rsidR="00E041AB" w:rsidTr="00446E84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подгруппа</w:t>
            </w:r>
          </w:p>
        </w:tc>
      </w:tr>
      <w:tr w:rsidR="00E041AB" w:rsidTr="00446E84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041AB" w:rsidRDefault="00E041AB" w:rsidP="00E041AB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041AB" w:rsidRDefault="00E041AB" w:rsidP="00E041AB">
      <w:pPr>
        <w:pStyle w:val="snoski"/>
      </w:pPr>
      <w:r>
        <w:rPr>
          <w:vertAlign w:val="superscript"/>
        </w:rPr>
        <w:t>3 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E041AB" w:rsidRDefault="00E041AB" w:rsidP="00E041AB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8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 торговом центре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314"/>
        <w:gridCol w:w="1079"/>
        <w:gridCol w:w="481"/>
        <w:gridCol w:w="1252"/>
        <w:gridCol w:w="750"/>
        <w:gridCol w:w="1238"/>
        <w:gridCol w:w="304"/>
        <w:gridCol w:w="1590"/>
        <w:gridCol w:w="877"/>
      </w:tblGrid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lastRenderedPageBreak/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E041AB" w:rsidTr="00446E84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</w:tr>
      <w:tr w:rsidR="00E041AB" w:rsidTr="00446E84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кв. м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  <w:r>
        <w:t> </w:t>
      </w:r>
    </w:p>
    <w:p w:rsidR="00E041AB" w:rsidRDefault="00E041AB" w:rsidP="00E041A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E041AB" w:rsidTr="00446E8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append1"/>
            </w:pPr>
            <w:r>
              <w:t>Приложение 9</w:t>
            </w:r>
          </w:p>
          <w:p w:rsidR="00E041AB" w:rsidRDefault="00E041AB" w:rsidP="00446E84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</w:r>
            <w:r>
              <w:lastRenderedPageBreak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E041AB" w:rsidRPr="00FC0D0B" w:rsidRDefault="00E041AB" w:rsidP="00E041AB">
      <w:pPr>
        <w:pStyle w:val="newncpi"/>
      </w:pPr>
      <w:r>
        <w:lastRenderedPageBreak/>
        <w:t> </w:t>
      </w:r>
    </w:p>
    <w:p w:rsidR="00E041AB" w:rsidRDefault="00E041AB" w:rsidP="00E041AB">
      <w:pPr>
        <w:pStyle w:val="onestring"/>
      </w:pPr>
      <w:r>
        <w:t>Форма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041AB" w:rsidTr="00446E8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041AB" w:rsidRPr="00FC0D0B" w:rsidRDefault="00E041AB" w:rsidP="00E041A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 рынке</w:t>
      </w:r>
    </w:p>
    <w:p w:rsidR="00E041AB" w:rsidRDefault="00E041AB" w:rsidP="00E041AB">
      <w:pPr>
        <w:pStyle w:val="newncpi"/>
      </w:pPr>
      <w:r>
        <w:t>Прошу включить сведения в Торговый реестр Республики Беларусь:</w:t>
      </w:r>
    </w:p>
    <w:p w:rsidR="00E041AB" w:rsidRDefault="00E041AB" w:rsidP="00E041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231"/>
        <w:gridCol w:w="779"/>
        <w:gridCol w:w="1085"/>
        <w:gridCol w:w="1077"/>
        <w:gridCol w:w="932"/>
        <w:gridCol w:w="1240"/>
        <w:gridCol w:w="1083"/>
        <w:gridCol w:w="455"/>
      </w:tblGrid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9. Место нахождения рынка: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E041AB" w:rsidTr="00446E84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ед.</w:t>
            </w:r>
          </w:p>
        </w:tc>
      </w:tr>
      <w:tr w:rsidR="00E041AB" w:rsidTr="00446E84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E041AB" w:rsidTr="00446E84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</w:tr>
      <w:tr w:rsidR="00E041AB" w:rsidTr="00446E84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 </w:t>
            </w:r>
          </w:p>
        </w:tc>
      </w:tr>
    </w:tbl>
    <w:p w:rsidR="00E041AB" w:rsidRPr="00FC0D0B" w:rsidRDefault="00E041AB" w:rsidP="00E041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41AB" w:rsidRDefault="00E041AB" w:rsidP="00446E84">
            <w:pPr>
              <w:pStyle w:val="newncpi0"/>
              <w:jc w:val="right"/>
            </w:pPr>
            <w:r>
              <w:t>__________________</w:t>
            </w:r>
          </w:p>
        </w:tc>
      </w:tr>
      <w:tr w:rsidR="00E041AB" w:rsidTr="00446E8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41AB" w:rsidRDefault="00E041AB" w:rsidP="00446E8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041AB" w:rsidRPr="00FC0D0B" w:rsidRDefault="00E041AB" w:rsidP="00E041AB">
      <w:pPr>
        <w:pStyle w:val="newncpi0"/>
      </w:pPr>
      <w:r>
        <w:t>____ _______________ 20____ г.</w:t>
      </w:r>
    </w:p>
    <w:p w:rsidR="00E041AB" w:rsidRDefault="00E041AB" w:rsidP="00E041AB">
      <w:pPr>
        <w:pStyle w:val="newncpi0"/>
      </w:pPr>
      <w:r>
        <w:t> </w:t>
      </w:r>
    </w:p>
    <w:p w:rsidR="00E041AB" w:rsidRDefault="00E041AB" w:rsidP="00E041AB">
      <w:pPr>
        <w:pStyle w:val="snoskiline"/>
      </w:pPr>
      <w:r>
        <w:rPr>
          <w:vertAlign w:val="superscript"/>
        </w:rPr>
        <w:t>______________________________</w:t>
      </w:r>
    </w:p>
    <w:p w:rsidR="00E041AB" w:rsidRDefault="00E041AB" w:rsidP="00E041AB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041AB" w:rsidRDefault="00E041AB" w:rsidP="00E041AB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041AB" w:rsidRDefault="00E041AB" w:rsidP="00E041AB">
      <w:pPr>
        <w:pStyle w:val="newncpi"/>
      </w:pPr>
      <w:r>
        <w:t> </w:t>
      </w:r>
    </w:p>
    <w:p w:rsidR="00E041AB" w:rsidRPr="00A546AF" w:rsidRDefault="00E041AB" w:rsidP="00E041AB">
      <w:pPr>
        <w:pStyle w:val="snoski"/>
        <w:spacing w:after="240"/>
        <w:ind w:firstLine="0"/>
        <w:rPr>
          <w:sz w:val="16"/>
          <w:szCs w:val="16"/>
        </w:rPr>
      </w:pPr>
    </w:p>
    <w:p w:rsidR="00784900" w:rsidRDefault="009A2A3B"/>
    <w:sectPr w:rsidR="00784900" w:rsidSect="001611FE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EB" w:rsidRDefault="006357EB">
      <w:r>
        <w:separator/>
      </w:r>
    </w:p>
  </w:endnote>
  <w:endnote w:type="continuationSeparator" w:id="0">
    <w:p w:rsidR="006357EB" w:rsidRDefault="006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611FE" w:rsidTr="001611FE">
      <w:tc>
        <w:tcPr>
          <w:tcW w:w="1800" w:type="dxa"/>
          <w:shd w:val="clear" w:color="auto" w:fill="auto"/>
          <w:vAlign w:val="center"/>
        </w:tcPr>
        <w:p w:rsidR="001611FE" w:rsidRDefault="00E041A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611FE" w:rsidRDefault="00E041A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611FE" w:rsidRPr="001611FE" w:rsidRDefault="00E041A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611FE" w:rsidRDefault="009A2A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EB" w:rsidRDefault="006357EB">
      <w:r>
        <w:separator/>
      </w:r>
    </w:p>
  </w:footnote>
  <w:footnote w:type="continuationSeparator" w:id="0">
    <w:p w:rsidR="006357EB" w:rsidRDefault="0063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E041AB" w:rsidP="00E07D3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1FE" w:rsidRDefault="009A2A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Pr="001611FE" w:rsidRDefault="00E041AB" w:rsidP="00E07D30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9A2A3B">
      <w:rPr>
        <w:rStyle w:val="ab"/>
        <w:noProof/>
      </w:rPr>
      <w:t>14</w:t>
    </w:r>
    <w:r w:rsidRPr="001611FE">
      <w:rPr>
        <w:rStyle w:val="ab"/>
      </w:rPr>
      <w:fldChar w:fldCharType="end"/>
    </w:r>
  </w:p>
  <w:p w:rsidR="001611FE" w:rsidRPr="001611FE" w:rsidRDefault="009A2A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9A2A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317BC9"/>
    <w:rsid w:val="006357EB"/>
    <w:rsid w:val="00833BE8"/>
    <w:rsid w:val="008B6057"/>
    <w:rsid w:val="009A2A3B"/>
    <w:rsid w:val="00A939E8"/>
    <w:rsid w:val="00E041AB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Петрова Елена</cp:lastModifiedBy>
  <cp:revision>4</cp:revision>
  <cp:lastPrinted>2022-12-20T13:33:00Z</cp:lastPrinted>
  <dcterms:created xsi:type="dcterms:W3CDTF">2022-08-10T09:04:00Z</dcterms:created>
  <dcterms:modified xsi:type="dcterms:W3CDTF">2022-12-20T13:33:00Z</dcterms:modified>
</cp:coreProperties>
</file>