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05" w:rsidRPr="00E14E05" w:rsidRDefault="00E14E05" w:rsidP="00E14E05">
      <w:pPr>
        <w:jc w:val="center"/>
        <w:rPr>
          <w:rFonts w:eastAsia="Times New Roman" w:cs="Times New Roman"/>
          <w:color w:val="000000"/>
          <w:sz w:val="27"/>
          <w:szCs w:val="27"/>
          <w:lang w:eastAsia="ru-RU"/>
        </w:rPr>
      </w:pPr>
      <w:r w:rsidRPr="00E14E05">
        <w:rPr>
          <w:rFonts w:eastAsia="Times New Roman" w:cs="Times New Roman"/>
          <w:caps/>
          <w:color w:val="000000"/>
          <w:sz w:val="27"/>
          <w:szCs w:val="27"/>
          <w:lang w:eastAsia="ru-RU"/>
        </w:rPr>
        <w:t>ЗАКОН РЕСПУБЛИКИ БЕЛАРУСЬ</w:t>
      </w:r>
    </w:p>
    <w:p w:rsidR="00E14E05" w:rsidRPr="00E14E05" w:rsidRDefault="00E14E05" w:rsidP="00E14E05">
      <w:pPr>
        <w:jc w:val="center"/>
        <w:rPr>
          <w:rFonts w:eastAsia="Times New Roman" w:cs="Times New Roman"/>
          <w:color w:val="000000"/>
          <w:sz w:val="27"/>
          <w:szCs w:val="27"/>
          <w:lang w:eastAsia="ru-RU"/>
        </w:rPr>
      </w:pPr>
      <w:r w:rsidRPr="00E14E05">
        <w:rPr>
          <w:rFonts w:eastAsia="Times New Roman" w:cs="Times New Roman"/>
          <w:color w:val="000000"/>
          <w:sz w:val="27"/>
          <w:szCs w:val="27"/>
          <w:lang w:eastAsia="ru-RU"/>
        </w:rPr>
        <w:t>11 ноября 2021 г. № 129-З</w:t>
      </w:r>
    </w:p>
    <w:p w:rsidR="00E14E05" w:rsidRPr="00E14E05" w:rsidRDefault="00E14E05" w:rsidP="00E14E05">
      <w:pPr>
        <w:spacing w:before="240" w:after="240"/>
        <w:ind w:right="2268"/>
        <w:rPr>
          <w:rFonts w:eastAsia="Times New Roman" w:cs="Times New Roman"/>
          <w:b/>
          <w:bCs/>
          <w:color w:val="000000"/>
          <w:szCs w:val="28"/>
          <w:lang w:eastAsia="ru-RU"/>
        </w:rPr>
      </w:pPr>
      <w:bookmarkStart w:id="0" w:name="_GoBack"/>
      <w:r w:rsidRPr="00E14E05">
        <w:rPr>
          <w:rFonts w:eastAsia="Times New Roman" w:cs="Times New Roman"/>
          <w:b/>
          <w:bCs/>
          <w:color w:val="000000"/>
          <w:szCs w:val="28"/>
          <w:lang w:eastAsia="ru-RU"/>
        </w:rPr>
        <w:t>О туризме</w:t>
      </w:r>
    </w:p>
    <w:bookmarkEnd w:id="0"/>
    <w:p w:rsidR="00E14E05" w:rsidRPr="00E14E05" w:rsidRDefault="00E14E05" w:rsidP="00E14E05">
      <w:pPr>
        <w:spacing w:before="240" w:after="240"/>
        <w:rPr>
          <w:rFonts w:eastAsia="Times New Roman" w:cs="Times New Roman"/>
          <w:i/>
          <w:iCs/>
          <w:color w:val="000000"/>
          <w:sz w:val="27"/>
          <w:szCs w:val="27"/>
          <w:lang w:eastAsia="ru-RU"/>
        </w:rPr>
      </w:pPr>
      <w:r w:rsidRPr="00E14E05">
        <w:rPr>
          <w:rFonts w:eastAsia="Times New Roman" w:cs="Times New Roman"/>
          <w:i/>
          <w:iCs/>
          <w:color w:val="000000"/>
          <w:sz w:val="27"/>
          <w:szCs w:val="27"/>
          <w:lang w:eastAsia="ru-RU"/>
        </w:rPr>
        <w:t>Принят Палатой представителей 4 октября 2021 г.</w:t>
      </w:r>
      <w:r w:rsidRPr="00E14E05">
        <w:rPr>
          <w:rFonts w:eastAsia="Times New Roman" w:cs="Times New Roman"/>
          <w:i/>
          <w:iCs/>
          <w:color w:val="000000"/>
          <w:sz w:val="27"/>
          <w:szCs w:val="27"/>
          <w:lang w:eastAsia="ru-RU"/>
        </w:rPr>
        <w:br/>
        <w:t>Одобрен Советом Республики 28 октября 2021 г.</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1</w:t>
      </w:r>
      <w:r w:rsidRPr="00E14E05">
        <w:rPr>
          <w:rFonts w:eastAsia="Times New Roman" w:cs="Times New Roman"/>
          <w:b/>
          <w:bCs/>
          <w:caps/>
          <w:color w:val="000000"/>
          <w:sz w:val="27"/>
          <w:szCs w:val="27"/>
          <w:lang w:eastAsia="ru-RU"/>
        </w:rPr>
        <w:br/>
        <w:t>ОБЩИЕ ПОЛОЖЕНИЯ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 Основные термины, используемые в настоящем Законе, и их определения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Для целей настоящего Закона используются следующие основные термины и их определения: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xml:space="preserve">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w:t>
      </w:r>
      <w:r w:rsidRPr="00E14E05">
        <w:rPr>
          <w:rFonts w:eastAsia="Times New Roman" w:cs="Times New Roman"/>
          <w:color w:val="000000"/>
          <w:sz w:val="27"/>
          <w:szCs w:val="27"/>
          <w:lang w:eastAsia="ru-RU"/>
        </w:rPr>
        <w:lastRenderedPageBreak/>
        <w:t>возникающих во время совершения туристического путешествия и (или) в связи с ним;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субъекты туристической деятельности – туроператоры, турагенты;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 – комплекс туристических услуг с программой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турагент – юридическое лицо или индивидуальный предприниматель, осуществляющие турагентскую деятельность;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туризм – туристическое путешествие, а также деятельность по его организации;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туристическая деятельность – туроператорская и турагентская деятельность;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туристическая индустрия – совокупность субъектов и объектов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xml:space="preserve">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w:t>
      </w:r>
      <w:r w:rsidRPr="00E14E05">
        <w:rPr>
          <w:rFonts w:eastAsia="Times New Roman" w:cs="Times New Roman"/>
          <w:color w:val="000000"/>
          <w:sz w:val="27"/>
          <w:szCs w:val="27"/>
          <w:lang w:eastAsia="ru-RU"/>
        </w:rPr>
        <w:lastRenderedPageBreak/>
        <w:t>потенциале Республики Беларусь и ее административно-территориальных единиц;</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 юридическое лицо, осуществляющее туроператорскую деятельность;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участники туристической деятельности – заказчики, туристы, экскурсанты;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экскурсант – физическое лицо, которое совершает экскурсию без ночевки в стране (месте) временного пребывания;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 Сфера действия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Настоящий Закон регулирует общественные отношения, возникающие при: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осуществлении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совершении туристических путешествий;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экскурсионном обслуживании;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организации и обеспечении безопасности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Действие настоящего Закона не распространяется на общественные отношения, связанные с:</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совершением путешествий (поездки, передвижения, пребывание) сроком свыше одного года.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 Правовое регулирование отношений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4. Организационные формы туризма. Цели туристов, экскурсантов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Организационными формами туризма являются международный и внутренний туризм.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Международный туризм включает в себя: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отдых;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оздоровление;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познавательные цели;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образовательные цели;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паломнические цели;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деловые цели;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физкультурно-спортивные цели;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иные цели.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5. Единая классификация видов туризма в Республике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2</w:t>
      </w:r>
      <w:r w:rsidRPr="00E14E05">
        <w:rPr>
          <w:rFonts w:eastAsia="Times New Roman" w:cs="Times New Roman"/>
          <w:b/>
          <w:bCs/>
          <w:caps/>
          <w:color w:val="000000"/>
          <w:sz w:val="27"/>
          <w:szCs w:val="27"/>
          <w:lang w:eastAsia="ru-RU"/>
        </w:rPr>
        <w:br/>
        <w:t>ГОСУДАРСТВЕННОЕ РЕГУЛИРОВАНИЕ В СФЕРЕ ТУРИЗМА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6. Общие положения о государственном регулировании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7. Основные принципы и цели государственного регулирования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1. Основными принципами государственного регулирования в сфере туризма являются: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обеспечение безопасности;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развитие туризма и внешней торговли туристическими услугами;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поддержка малого предпринимательства;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защита и развитие конкуренции, в том числе предупреждение и пресечение монополистической деятельности и недобросовестной конкуренции;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гласность и открытость разработки, принятия и применения мер государственного регулирования;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предупреждение вредного воздействия туризма на окружающую среду.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Основными целями государственного регулирования в сфере туризма являются: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обеспечение прав физических лиц на отдых, свободу передвижения, иных прав, реализуемых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защита прав, свобод и законных интересов физических лиц, в том числе индивидуальных предпринимателей, прав и законных интересов юридических лиц;</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охрана и рациональное использование туристических ресурсов;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формирование представления о Республике Беларусь как о стране, привлекательной для туристов, экскурсантов;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развитие кадрового обеспечения;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развитие международного сотрудничества;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цифровизация.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8. Приоритетные направления государственного регулирования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созданию и обеспечению благоприятных условий для деятельности субъектов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проведению исследований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созданию и развитию туристических зон;</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созданию и функционированию туристических информационных центров;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развитию экскурсионного обслуживания и разработке новых маршрутов экскурсий;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9. Полномочия Президента Республики Беларусь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10. Полномочия Совета Министров Республики Беларусь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Совет Министров Республики Беларусь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обеспечивает проведение единой государственной политики;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утверждает государственные программы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устанавливает порядок и условия создания и функционирования туристических информационных центров, а также их учета;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утверждает Правила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утверждает типовую форму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11. Полномочия Министерства спорта и туризма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Министерство спорта и туризма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является республиканским органом государственного управления, проводящим единую государственную политику;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осуществляет координацию деятельности иных органов государственного управления, местных исполнительных и распорядительных органов;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создает условия для развития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формирует проекты государственных программ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осуществляет иные полномочия в соответствии с настоящим Законом и иными актами законодательства.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12. Полномочия местных Советов депутатов, местных исполнительных и распорядительных органов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Местные Советы депутатов в пределах своей компетенции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вносят предложения по формированию государственных программ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осуществляют иные полномочия в соответствии с актами законодательства.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Местные исполнительные и распорядительные органы в пределах своей компетенции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создают условия для развития туризма на территории соответствующих административно-территориальных единиц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xml:space="preserve">запрашивают в письменной форме у субъектов туристической деятельности в целях анализа проблемных вопросов осуществления </w:t>
      </w:r>
      <w:r w:rsidRPr="00E14E05">
        <w:rPr>
          <w:rFonts w:eastAsia="Times New Roman" w:cs="Times New Roman"/>
          <w:color w:val="000000"/>
          <w:sz w:val="27"/>
          <w:szCs w:val="27"/>
          <w:lang w:eastAsia="ru-RU"/>
        </w:rPr>
        <w:lastRenderedPageBreak/>
        <w:t>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осуществляют иные полномочия в соответствии с настоящим Законом и иными актами законодательства.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13. Государственные программы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14. Межведомственный экспертно-координационный совет по туризму при Совете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создания благоприятных условий для устойчивого развития туризма в Республике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повышения экономической эффективности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формирования конкурентной среды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защиты внутреннего рынка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реализации приоритетных направлений и основных целей государственного регулирования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проведения единой государственной политики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обеспечения и защиты интересов участников туристической деятельности и субъектов туристической индустрии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совершенствования законодательства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3</w:t>
      </w:r>
      <w:r w:rsidRPr="00E14E05">
        <w:rPr>
          <w:rFonts w:eastAsia="Times New Roman" w:cs="Times New Roman"/>
          <w:b/>
          <w:bCs/>
          <w:caps/>
          <w:color w:val="000000"/>
          <w:sz w:val="27"/>
          <w:szCs w:val="27"/>
          <w:lang w:eastAsia="ru-RU"/>
        </w:rPr>
        <w:br/>
        <w:t>ТУРИСТИЧЕСКИЕ ЗОНЫ. ТУРИСТИЧЕСКИЕ ИНФОРМАЦИОННЫЕ ЦЕНТРЫ</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15. Туристические зоны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16. Туристические информационные центры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Туристические информационные центры осуществляют сбор, накопление, обработку, анализ и распространение информации о (об):</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туристических ресурсах;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предлагаемых экскурсиях;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культурных мероприятиях, организуемых на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расписании движения транспорта общего пользования;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иной информации, необходимой для участников и субъектов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Информация, предусмотренная частью первой настоящего пункта, не должна носить рекламный характер.</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Туристические информационные центры вправе: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осуществлять сбор, накопление, обработку, анализ и распространение информации, предусмотренной частью первой пункта 2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осуществлять предпринимательскую деятельность;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Туристические информационные центры обязаны: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обеспечивать актуальность информации, предусмотренной частью первой пункта 2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соблюдать требования законодательства, в том числе об информации, информатизации и защите информации.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Туристические информационные центры могут иметь иные права и нести иные обязанности в соответствии с законодательными актами.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4</w:t>
      </w:r>
      <w:r w:rsidRPr="00E14E05">
        <w:rPr>
          <w:rFonts w:eastAsia="Times New Roman" w:cs="Times New Roman"/>
          <w:b/>
          <w:bCs/>
          <w:caps/>
          <w:color w:val="000000"/>
          <w:sz w:val="27"/>
          <w:szCs w:val="27"/>
          <w:lang w:eastAsia="ru-RU"/>
        </w:rPr>
        <w:br/>
        <w:t>ТУРИСТИЧЕСКАЯ ДЕЯТЕЛЬНОСТЬ</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17. Осуществление туристической деятельности в Республике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18. Права и обязанности участников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Участники туристической деятельности имеют право 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w:t>
      </w:r>
      <w:r w:rsidRPr="00E14E05">
        <w:rPr>
          <w:rFonts w:eastAsia="Times New Roman" w:cs="Times New Roman"/>
          <w:color w:val="000000"/>
          <w:sz w:val="27"/>
          <w:szCs w:val="27"/>
          <w:lang w:eastAsia="ru-RU"/>
        </w:rPr>
        <w:lastRenderedPageBreak/>
        <w:t>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защиту своих прав, свобод и законных интересов;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надлежащее качество и безопасность оказываемых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возмещение вреда в порядке, установленном настоящим Законом и иными законодательными актами.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Участники туристической деятельности обязаны: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бережно относиться к окружающей среде, культурным ценностям;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соблюдать правила въезда и выезда страны (места) временного пребывания (транзитного проезда);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соблюдать правила личной безопасности туриста, экскурсанта;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исполнять условия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19. Права и обязанности субъектов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Субъекты туристической деятельности имеют право 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продвижение и реализацию туров;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оказание услуг, связанных с организацией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возмещение вреда в порядке, установленном гражданским и гражданско-процессуальным законодательством.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Туроператоры дополнительно к правам, предусмотренным пунктом 1 настоящей статьи, имеют право 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формирование тура по своему усмотрению, по заказу участников туристической деятельности или субъектов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определение минимального количества туристов, экскурсантов, необходимого для совершения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Субъекты туристической деятельности обязаны: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обеспечивать надлежащее качество и безопасность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возмещать в порядке, установленном настоящим Законом и иными законодательными актами, вред, причиненный участникам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исполнять условия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20. Предоставление субъектами туристической деятельности информации о соблюдении правил личной безопасности туриста, экскурсанта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Правила личной безопасности туриста, экскурсанта включают информацию о (об):</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требованиях к физическому состоянию туриста, экскурсанта (возрастные ограничения, состояние здоровья и иные требования);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правилах поведения туриста, экскурсанта при наступлении обстоятельств непреодолимой силы или иных непредвиденных обстоятельств;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Информация, предусмотренная пунктом 2 настоящей статьи, предоставляется субъектами туристической деятельности в следующем порядке: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реализации туров заказчикам – в рамках договоров оказания туристических услуг.</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21. Формирование, продвижение и реализация тура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К формированию тура также относится приобретение туроператором права на реализацию тура, сформированного туроператором-нерезидентом.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Программа туристического путешествия включает информацию о:</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маршруте туристического путешествия, дате и месте начала и окончания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порядке встречи и проводов, сопровождения туриста, экскурсанта;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характеристике транспортных средств, осуществляющих перевозку туриста, экскурсанта, сроках стыковок (совмещений) рейсов;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порядке обеспечения питанием туриста, экскурсанта во время совершения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перечне и характеристике иных оказываемых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наименовании и месте нахождения туроператора, сформировавшего тур.</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lastRenderedPageBreak/>
        <w:t>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22. Договор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программу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права, обязанности и ответственность сторон;</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условия изменения и расторжения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порядок урегулирования споров, возникших между участниками туристической деятельности и исполнителем, и возмещения вреда;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иные условия, относительно которых по заявлению одной из сторон должно быть достигнуто соглашение.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xml:space="preserve">сведения об организации, обеспечивающей исполнение туроператором обязательств по договорам оказания туристических услуг в сфере </w:t>
      </w:r>
      <w:r w:rsidRPr="00E14E05">
        <w:rPr>
          <w:rFonts w:eastAsia="Times New Roman" w:cs="Times New Roman"/>
          <w:color w:val="000000"/>
          <w:sz w:val="27"/>
          <w:szCs w:val="27"/>
          <w:lang w:eastAsia="ru-RU"/>
        </w:rPr>
        <w:lastRenderedPageBreak/>
        <w:t>международного выездного туризма: наименование организации, место нахождения, контактные данные;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Реализация тура исполнителем заказчику осуществляется самостоятельно либо через турагента.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sidRPr="00E14E05">
        <w:rPr>
          <w:rFonts w:eastAsia="Times New Roman" w:cs="Times New Roman"/>
          <w:color w:val="000000"/>
          <w:sz w:val="27"/>
          <w:szCs w:val="27"/>
          <w:vertAlign w:val="superscript"/>
          <w:lang w:eastAsia="ru-RU"/>
        </w:rPr>
        <w:t>1</w:t>
      </w:r>
      <w:r w:rsidRPr="00E14E05">
        <w:rPr>
          <w:rFonts w:eastAsia="Times New Roman" w:cs="Times New Roman"/>
          <w:color w:val="000000"/>
          <w:sz w:val="27"/>
          <w:szCs w:val="27"/>
          <w:lang w:eastAsia="ru-RU"/>
        </w:rPr>
        <w:t> Закона Республики Беларусь от 9 января 2002 г. № 90-З «О защите прав потребителей».</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23. Оказание туристических услуг, услуг, связанных с организацией туристического путешествия, требования к их качеству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Оказание услуг, связанных с организацией туристического путешествия, осуществляется на основании: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Фактически понесенные расходы считаются подтвержденными при наличии у исполнителя: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иных документов, детализирующих фактически понесенные расходы (при наличии таких документов).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Документы, составленные на иностранном языке, должны сопровождаться переводом на белорусский или русский язык.</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25. Претензионный порядок урегулирования споров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К случаям невозможности исполнения туроператором обязательств относятся: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открытие конкурсного производства в отношении туроператора;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прекращение туроператором деятельности в сфере международного выездного туризма или туроператорской деятельности в целом;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предусмотренных абзацами вторым–пятым пункта 1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направить в Министерство спорта и туризма или уполномоченную им государственную организацию информацию о наступлении таких случаев;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разместить информацию о наступлении таких случаев на своем официальном сайте в глобальной компьютерной сети Интернет;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вносят сведения в реестр субъектов туристической деятельности (далее – реестр);</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размещают информацию, полученную от туроператора, на официальном сайте Министерства спорта и туризма в глобальной компьютерной сети Интернет.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страховые организации;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банки, небанковские кредитно-финансовые организации (далее – банки);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ассоциации (союзы), сформировавшие фонд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27. Способы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участия в формировании фонда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К письменному заявлению (по банковской гарантии – к письменному требованию) участника туристической деятельности прилагаются: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копия документа, удостоверяющего личность (для физического лица), или копия свидетельства о государственной регистрации (для юридического лица);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реорганизации или ликвидации ассоциации (союза), сформировавшей фонд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расформирования ассоциацией (союзом) фонда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28. Страхование ответственности туроператора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29. Банковская гарантия. Договор о выдаче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Условиями банковской гарантии являются: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наименование туроператора;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наименование бенефициара;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наименование банка;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дата и номер договора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максимальная денежная сумма, подлежащая уплате по банковской гарантии, с учетом пункта 3 статьи 27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срок действия банковской гарантии, который истекает через шесть месяцев после даты окончания туристического путешествия;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Договор о выдаче банковских гарантий, на основании которого выдается банковская гарантия, должен содержать следующие существенные условия: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срок действия банковских гарантий;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права и обязанности туроператора и банка.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Срок действия договора о выдаче банковских гарантий составляет один год, если более продолжительный срок не предусмотрен этим договором.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Если сумма (лимит) денежного обязательства банка исчерпана, договор о выдаче банковских гарантий прекращает свое действие.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30. Фонд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Фонд ответственности туроператоров может формироваться ассоциацией (союзом) при условии наличия: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Не допускается перечисление на специальный счет иных денежных средств, кроме указанных в пункте 2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31. Выплата денежных сумм из фонда ответственности туроператоров, особенности ее осуществления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32. Реестр</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В реестр включаются следующие сведения о субъекте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наименование субъекта туристической деятельности (фамилия, собственное имя, отчество (если таковое имеется) индивидуального предпринимателя);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место нахождения субъекта туристической деятельности (место жительства индивидуального предпринимателя);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учетный номер плательщика (для субъектов туристической деятельности – резидентов);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обособленные подразделения (филиалы, представительства) юридического лица (при их наличии), место нахождения;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организационные формы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вид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членстве в ассоциации (союзе), если субъект туристической деятельности состоит в ассоциации (союзе);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приостановлении туристической деятельности, срок такого приостановления, источник опубликования таких сведений;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сведения о добровольной сертификации туристических услуг (при наличии).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9. Основаниями для исключения сведений о субъекте туристической деятельности из реестра являются: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прекращение деятельности субъектом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5</w:t>
      </w:r>
      <w:r w:rsidRPr="00E14E05">
        <w:rPr>
          <w:rFonts w:eastAsia="Times New Roman" w:cs="Times New Roman"/>
          <w:b/>
          <w:bCs/>
          <w:caps/>
          <w:color w:val="000000"/>
          <w:sz w:val="27"/>
          <w:szCs w:val="27"/>
          <w:lang w:eastAsia="ru-RU"/>
        </w:rPr>
        <w:br/>
        <w:t>ОРГАНИЗАЦИЯ ЭКСКУРСИОННОГО ОБСЛУЖИВАНИЯ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33. Экскурсионное обслуживание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Экскурсионное обслуживание осуществляется на основании: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иных не запрещенных законодательством договоров, предусматривающих условия экскурсионного обслуживания.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Договор оказания экскурсионных услуг считается заключенным в надлежащей форме: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34. Проведение экскурсий на территории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Экскурсии на территории Республики Беларусь вправе проводить: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экскурсоводы, гиды-переводчики, прошедшие профессиональную аттестацию, подтверждающую квалификацию экскурсоводов, гидов-переводчиков;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лица, работающие в организациях, при проведении экскурсий в этих организациях;</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субъекты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иные лица, наделенные правом проведения экскурсий.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4. Проведение экскурсий на территории Республики Беларусь с нарушением требований, установленных настоящей статьей, запрещается.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35. Национальный реестр экскурсоводов и гидов-переводчиков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6</w:t>
      </w:r>
      <w:r w:rsidRPr="00E14E05">
        <w:rPr>
          <w:rFonts w:eastAsia="Times New Roman" w:cs="Times New Roman"/>
          <w:b/>
          <w:bCs/>
          <w:caps/>
          <w:color w:val="000000"/>
          <w:sz w:val="27"/>
          <w:szCs w:val="27"/>
          <w:lang w:eastAsia="ru-RU"/>
        </w:rPr>
        <w:br/>
        <w:t>БЕЗОПАСНОСТЬ В СФЕРЕ ТУРИЗМА. ОТВЕТСТВЕННОСТЬ ЗА НАРУШЕНИЕ ЗАКОНОДАТЕЛЬСТВА О ТУРИЗМЕ</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36. Общие вопросы безопасности в сфере туризма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37. Вопросы безопасности участников туристической деятельности в случае возникновения чрезвычайных ситуаций</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38. Ответственность за нарушение законодательства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Лица, виновные в нарушении законодательства о туризме, несут ответственность в соответствии с законодательными актами.</w:t>
      </w:r>
    </w:p>
    <w:p w:rsidR="00E14E05" w:rsidRPr="00E14E05" w:rsidRDefault="00E14E05" w:rsidP="00E14E05">
      <w:pPr>
        <w:spacing w:before="240" w:after="240"/>
        <w:jc w:val="center"/>
        <w:rPr>
          <w:rFonts w:eastAsia="Times New Roman" w:cs="Times New Roman"/>
          <w:b/>
          <w:bCs/>
          <w:caps/>
          <w:color w:val="000000"/>
          <w:sz w:val="27"/>
          <w:szCs w:val="27"/>
          <w:lang w:eastAsia="ru-RU"/>
        </w:rPr>
      </w:pPr>
      <w:r w:rsidRPr="00E14E05">
        <w:rPr>
          <w:rFonts w:eastAsia="Times New Roman" w:cs="Times New Roman"/>
          <w:b/>
          <w:bCs/>
          <w:caps/>
          <w:color w:val="000000"/>
          <w:sz w:val="27"/>
          <w:szCs w:val="27"/>
          <w:lang w:eastAsia="ru-RU"/>
        </w:rPr>
        <w:t>ГЛАВА 7</w:t>
      </w:r>
      <w:r w:rsidRPr="00E14E05">
        <w:rPr>
          <w:rFonts w:eastAsia="Times New Roman" w:cs="Times New Roman"/>
          <w:b/>
          <w:bCs/>
          <w:caps/>
          <w:color w:val="000000"/>
          <w:sz w:val="27"/>
          <w:szCs w:val="27"/>
          <w:lang w:eastAsia="ru-RU"/>
        </w:rPr>
        <w:br/>
        <w:t>ЗАКЛЮЧИТЕЛЬНЫЕ ПОЛОЖЕНИЯ</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39. Признание утратившими силу законов и отдельного положения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Признать утратившими силу:</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Закон Республики Беларусь от 25 ноября 1999 г. № 326-З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Закон Республики Беларусь от 15 декабря 2003 г. № 257-З «О внесении дополнений и изменений в Закон Республики Беларусь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Закон Республики Беларусь от 9 января 2007 г. № 206-З «О внесении изменений и дополнений в Закон Республики Беларусь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Закон Республики Беларусь от 16 июня 2010 г. № 139-З «О внесении изменений и дополнений в Закон Республики Беларусь «О туризме»;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статью 7 Закона Республики Беларусь от 22 декабря 2011 г. № 326-З «О внесении изменений и дополнений в некоторые законы Республики Беларусь»;</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Закон Республики Беларусь от 18 июля 2016 г. № 410-З «О внесении изменений и дополнений в Закон Республики Беларусь «О туризме».</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40. Переходные положения</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До приведения в соответствие с настоящим Законом уставы ассоциаций (союзов) действуют в части, не противоречащей настоящему Закону.</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41. Меры по реализации положений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Совету Министров Республики Беларусь до 1 января 2023 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обеспечить приведение актов законодательства в соответствие с настоящим Законом;</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принять иные меры по реализации положений настоящего Закона.</w:t>
      </w:r>
    </w:p>
    <w:p w:rsidR="00E14E05" w:rsidRPr="00E14E05" w:rsidRDefault="00E14E05" w:rsidP="00E14E05">
      <w:pPr>
        <w:spacing w:before="240" w:after="240"/>
        <w:ind w:left="1922" w:hanging="1355"/>
        <w:rPr>
          <w:rFonts w:eastAsia="Times New Roman" w:cs="Times New Roman"/>
          <w:b/>
          <w:bCs/>
          <w:color w:val="000000"/>
          <w:sz w:val="27"/>
          <w:szCs w:val="27"/>
          <w:lang w:eastAsia="ru-RU"/>
        </w:rPr>
      </w:pPr>
      <w:r w:rsidRPr="00E14E05">
        <w:rPr>
          <w:rFonts w:eastAsia="Times New Roman" w:cs="Times New Roman"/>
          <w:b/>
          <w:bCs/>
          <w:color w:val="000000"/>
          <w:sz w:val="27"/>
          <w:szCs w:val="27"/>
          <w:lang w:eastAsia="ru-RU"/>
        </w:rPr>
        <w:t>Статья 42. Вступление в силу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Настоящий Закон вступает в силу в следующем порядке:</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статьи 1–31, пункты 1–5, часть первая пункта 6, пункты 7–10 статьи 32, статьи 33–40 – с 1 января 2023 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часть вторая пункта 6 статьи 32 – с 1 января 2024 г.;</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иные положения – после официального опубликования настоящего Закона.</w:t>
      </w:r>
    </w:p>
    <w:p w:rsidR="00E14E05" w:rsidRPr="00E14E05" w:rsidRDefault="00E14E05" w:rsidP="00E14E05">
      <w:pPr>
        <w:ind w:firstLine="567"/>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E14E05" w:rsidRPr="00E14E05" w:rsidTr="00E14E05">
        <w:tc>
          <w:tcPr>
            <w:tcW w:w="2500" w:type="pct"/>
            <w:tcMar>
              <w:top w:w="0" w:type="dxa"/>
              <w:left w:w="6" w:type="dxa"/>
              <w:bottom w:w="0" w:type="dxa"/>
              <w:right w:w="6" w:type="dxa"/>
            </w:tcMar>
            <w:vAlign w:val="bottom"/>
            <w:hideMark/>
          </w:tcPr>
          <w:p w:rsidR="00E14E05" w:rsidRPr="00E14E05" w:rsidRDefault="00E14E05" w:rsidP="00E14E05">
            <w:pPr>
              <w:rPr>
                <w:rFonts w:eastAsia="Times New Roman" w:cs="Times New Roman"/>
                <w:sz w:val="24"/>
                <w:szCs w:val="24"/>
                <w:lang w:eastAsia="ru-RU"/>
              </w:rPr>
            </w:pPr>
            <w:r w:rsidRPr="00E14E05">
              <w:rPr>
                <w:rFonts w:eastAsia="Times New Roman" w:cs="Times New Roman"/>
                <w:b/>
                <w:bCs/>
                <w:sz w:val="22"/>
                <w:lang w:eastAsia="ru-RU"/>
              </w:rPr>
              <w:t>Президент Республики Беларусь</w:t>
            </w:r>
          </w:p>
        </w:tc>
        <w:tc>
          <w:tcPr>
            <w:tcW w:w="2500" w:type="pct"/>
            <w:tcMar>
              <w:top w:w="0" w:type="dxa"/>
              <w:left w:w="6" w:type="dxa"/>
              <w:bottom w:w="0" w:type="dxa"/>
              <w:right w:w="6" w:type="dxa"/>
            </w:tcMar>
            <w:vAlign w:val="bottom"/>
            <w:hideMark/>
          </w:tcPr>
          <w:p w:rsidR="00E14E05" w:rsidRPr="00E14E05" w:rsidRDefault="00E14E05" w:rsidP="00E14E05">
            <w:pPr>
              <w:jc w:val="right"/>
              <w:rPr>
                <w:rFonts w:eastAsia="Times New Roman" w:cs="Times New Roman"/>
                <w:sz w:val="24"/>
                <w:szCs w:val="24"/>
                <w:lang w:eastAsia="ru-RU"/>
              </w:rPr>
            </w:pPr>
            <w:r w:rsidRPr="00E14E05">
              <w:rPr>
                <w:rFonts w:eastAsia="Times New Roman" w:cs="Times New Roman"/>
                <w:b/>
                <w:bCs/>
                <w:sz w:val="22"/>
                <w:lang w:eastAsia="ru-RU"/>
              </w:rPr>
              <w:t>А.Лукашенко</w:t>
            </w:r>
          </w:p>
        </w:tc>
      </w:tr>
    </w:tbl>
    <w:p w:rsidR="00E14E05" w:rsidRPr="00E14E05" w:rsidRDefault="00E14E05" w:rsidP="00E14E05">
      <w:pPr>
        <w:jc w:val="both"/>
        <w:rPr>
          <w:rFonts w:eastAsia="Times New Roman" w:cs="Times New Roman"/>
          <w:color w:val="000000"/>
          <w:sz w:val="27"/>
          <w:szCs w:val="27"/>
          <w:lang w:eastAsia="ru-RU"/>
        </w:rPr>
      </w:pPr>
      <w:r w:rsidRPr="00E14E05">
        <w:rPr>
          <w:rFonts w:eastAsia="Times New Roman" w:cs="Times New Roman"/>
          <w:color w:val="000000"/>
          <w:sz w:val="27"/>
          <w:szCs w:val="27"/>
          <w:lang w:eastAsia="ru-RU"/>
        </w:rPr>
        <w:t> </w:t>
      </w:r>
    </w:p>
    <w:p w:rsidR="008F336E" w:rsidRDefault="008F336E"/>
    <w:sectPr w:rsidR="008F3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05"/>
    <w:rsid w:val="008F336E"/>
    <w:rsid w:val="00956351"/>
    <w:rsid w:val="00E14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6579F-7851-4451-8D5E-2DB94A9F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14506</Words>
  <Characters>82685</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Sportshkola</dc:creator>
  <cp:lastModifiedBy>User</cp:lastModifiedBy>
  <cp:revision>2</cp:revision>
  <dcterms:created xsi:type="dcterms:W3CDTF">2024-11-05T12:43:00Z</dcterms:created>
  <dcterms:modified xsi:type="dcterms:W3CDTF">2024-11-05T12:43:00Z</dcterms:modified>
</cp:coreProperties>
</file>