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58" w:rsidRDefault="0086522E" w:rsidP="002675D4">
      <w:pPr>
        <w:spacing w:after="0" w:line="240" w:lineRule="auto"/>
        <w:ind w:firstLine="709"/>
        <w:jc w:val="both"/>
        <w:rPr>
          <w:rFonts w:ascii="Times New Roman" w:hAnsi="Times New Roman" w:cs="Times New Roman"/>
          <w:b/>
          <w:sz w:val="30"/>
          <w:szCs w:val="30"/>
        </w:rPr>
      </w:pPr>
      <w:bookmarkStart w:id="0" w:name="_GoBack"/>
      <w:bookmarkEnd w:id="0"/>
      <w:r>
        <w:rPr>
          <w:rFonts w:ascii="Times New Roman" w:hAnsi="Times New Roman" w:cs="Times New Roman"/>
          <w:b/>
          <w:sz w:val="30"/>
          <w:szCs w:val="30"/>
        </w:rPr>
        <w:t xml:space="preserve">28 апреля - </w:t>
      </w:r>
      <w:r w:rsidR="00EE27C5" w:rsidRPr="00EE27C5">
        <w:rPr>
          <w:rFonts w:ascii="Times New Roman" w:hAnsi="Times New Roman" w:cs="Times New Roman"/>
          <w:b/>
          <w:sz w:val="30"/>
          <w:szCs w:val="30"/>
        </w:rPr>
        <w:t>Всемирн</w:t>
      </w:r>
      <w:r w:rsidR="00016658">
        <w:rPr>
          <w:rFonts w:ascii="Times New Roman" w:hAnsi="Times New Roman" w:cs="Times New Roman"/>
          <w:b/>
          <w:sz w:val="30"/>
          <w:szCs w:val="30"/>
        </w:rPr>
        <w:t>ый день</w:t>
      </w:r>
      <w:r w:rsidR="00EE27C5" w:rsidRPr="00EE27C5">
        <w:rPr>
          <w:rFonts w:ascii="Times New Roman" w:hAnsi="Times New Roman" w:cs="Times New Roman"/>
          <w:b/>
          <w:sz w:val="30"/>
          <w:szCs w:val="30"/>
        </w:rPr>
        <w:t xml:space="preserve"> охраны труда</w:t>
      </w:r>
      <w:r w:rsidR="00016658">
        <w:rPr>
          <w:rFonts w:ascii="Times New Roman" w:hAnsi="Times New Roman" w:cs="Times New Roman"/>
          <w:b/>
          <w:sz w:val="30"/>
          <w:szCs w:val="30"/>
        </w:rPr>
        <w:t>.</w:t>
      </w:r>
    </w:p>
    <w:p w:rsidR="00EE27C5" w:rsidRPr="00EE27C5" w:rsidRDefault="00016658" w:rsidP="002675D4">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Тема:  «Влияние изменения климата на безопасность и гигиену труда» </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w:t>
      </w:r>
      <w:r w:rsidRPr="002675D4">
        <w:rPr>
          <w:rFonts w:ascii="Times New Roman" w:hAnsi="Times New Roman" w:cs="Times New Roman"/>
          <w:sz w:val="30"/>
          <w:szCs w:val="30"/>
        </w:rPr>
        <w:lastRenderedPageBreak/>
        <w:t>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w:t>
      </w:r>
      <w:r>
        <w:rPr>
          <w:rFonts w:ascii="Times New Roman" w:hAnsi="Times New Roman" w:cs="Times New Roman"/>
          <w:sz w:val="30"/>
          <w:szCs w:val="30"/>
        </w:rPr>
        <w:lastRenderedPageBreak/>
        <w:t>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укрытий от солнечных лучей 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w:t>
      </w:r>
      <w:r w:rsidRPr="00C6269B">
        <w:rPr>
          <w:rFonts w:ascii="Times New Roman" w:hAnsi="Times New Roman" w:cs="Times New Roman"/>
          <w:sz w:val="30"/>
          <w:szCs w:val="30"/>
        </w:rPr>
        <w:lastRenderedPageBreak/>
        <w:t>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4678"/>
        <w:gridCol w:w="2075"/>
        <w:gridCol w:w="2861"/>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w:t>
      </w:r>
      <w:r w:rsidRPr="00C6269B">
        <w:rPr>
          <w:rFonts w:ascii="Times New Roman" w:hAnsi="Times New Roman" w:cs="Times New Roman"/>
          <w:sz w:val="30"/>
          <w:szCs w:val="30"/>
        </w:rPr>
        <w:lastRenderedPageBreak/>
        <w:t>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D5" w:rsidRDefault="003A6DD5" w:rsidP="00024CE6">
      <w:pPr>
        <w:spacing w:after="0" w:line="240" w:lineRule="auto"/>
      </w:pPr>
      <w:r>
        <w:separator/>
      </w:r>
    </w:p>
  </w:endnote>
  <w:endnote w:type="continuationSeparator" w:id="0">
    <w:p w:rsidR="003A6DD5" w:rsidRDefault="003A6DD5"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D5" w:rsidRDefault="003A6DD5" w:rsidP="00024CE6">
      <w:pPr>
        <w:spacing w:after="0" w:line="240" w:lineRule="auto"/>
      </w:pPr>
      <w:r>
        <w:separator/>
      </w:r>
    </w:p>
  </w:footnote>
  <w:footnote w:type="continuationSeparator" w:id="0">
    <w:p w:rsidR="003A6DD5" w:rsidRDefault="003A6DD5"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077"/>
      <w:docPartObj>
        <w:docPartGallery w:val="Page Numbers (Top of Page)"/>
        <w:docPartUnique/>
      </w:docPartObj>
    </w:sdtPr>
    <w:sdtEndPr/>
    <w:sdtContent>
      <w:p w:rsidR="00024CE6" w:rsidRDefault="004406CE">
        <w:pPr>
          <w:pStyle w:val="af0"/>
        </w:pPr>
        <w:r>
          <w:fldChar w:fldCharType="begin"/>
        </w:r>
        <w:r w:rsidR="00024CE6">
          <w:instrText>PAGE   \* MERGEFORMAT</w:instrText>
        </w:r>
        <w:r>
          <w:fldChar w:fldCharType="separate"/>
        </w:r>
        <w:r w:rsidR="003B15B7">
          <w:rPr>
            <w:noProof/>
          </w:rPr>
          <w:t>2</w:t>
        </w:r>
        <w:r>
          <w:fldChar w:fldCharType="end"/>
        </w:r>
      </w:p>
    </w:sdtContent>
  </w:sdt>
  <w:p w:rsidR="00024CE6" w:rsidRDefault="00024C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06603"/>
    <w:rsid w:val="00016658"/>
    <w:rsid w:val="00024CE6"/>
    <w:rsid w:val="00025929"/>
    <w:rsid w:val="000321C9"/>
    <w:rsid w:val="000955AE"/>
    <w:rsid w:val="000D684F"/>
    <w:rsid w:val="00122F1E"/>
    <w:rsid w:val="00160145"/>
    <w:rsid w:val="0019300D"/>
    <w:rsid w:val="001E69EE"/>
    <w:rsid w:val="002675D4"/>
    <w:rsid w:val="002B336E"/>
    <w:rsid w:val="00322A95"/>
    <w:rsid w:val="00323E20"/>
    <w:rsid w:val="003A6DD5"/>
    <w:rsid w:val="003B15B7"/>
    <w:rsid w:val="003F105F"/>
    <w:rsid w:val="004406CE"/>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86522E"/>
    <w:rsid w:val="008836B1"/>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63F3D"/>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700D0-E929-4DE9-862C-0C60A921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F3D"/>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4201</Words>
  <Characters>23950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User</cp:lastModifiedBy>
  <cp:revision>2</cp:revision>
  <cp:lastPrinted>2024-04-11T06:17:00Z</cp:lastPrinted>
  <dcterms:created xsi:type="dcterms:W3CDTF">2024-04-18T13:52:00Z</dcterms:created>
  <dcterms:modified xsi:type="dcterms:W3CDTF">2024-04-18T13:52:00Z</dcterms:modified>
</cp:coreProperties>
</file>