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13" w:rsidRPr="00A71B13" w:rsidRDefault="00A71B13" w:rsidP="00A71B13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A71B13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Абитуриентам 2025</w:t>
      </w:r>
    </w:p>
    <w:p w:rsidR="00A71B13" w:rsidRPr="00A71B13" w:rsidRDefault="00A71B13" w:rsidP="00A71B1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  <w:t>02</w:t>
      </w:r>
      <w:r w:rsidRPr="00A71B13"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  <w:t xml:space="preserve"> апреля 2025</w:t>
      </w:r>
    </w:p>
    <w:p w:rsidR="00A71B13" w:rsidRPr="00A71B13" w:rsidRDefault="00A71B13" w:rsidP="00A71B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</w:t>
      </w:r>
      <w:r w:rsidRPr="00A71B13">
        <w:rPr>
          <w:rFonts w:ascii="Arial" w:eastAsia="Times New Roman" w:hAnsi="Arial" w:cs="Arial"/>
          <w:noProof/>
          <w:color w:val="1A1A1A"/>
          <w:sz w:val="27"/>
          <w:szCs w:val="27"/>
          <w:lang w:eastAsia="ru-RU"/>
        </w:rPr>
        <w:drawing>
          <wp:inline distT="0" distB="0" distL="0" distR="0" wp14:anchorId="0A9688EF" wp14:editId="268F7181">
            <wp:extent cx="4953000" cy="3143250"/>
            <wp:effectExtent l="0" t="0" r="0" b="0"/>
            <wp:docPr id="1" name="Рисунок 1" descr="http://cgevtb.by/files/files/imce/st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evtb.by/files/files/imce/stu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13" w:rsidRPr="00A71B13" w:rsidRDefault="00A71B13" w:rsidP="00A71B13">
      <w:pPr>
        <w:shd w:val="clear" w:color="auto" w:fill="FFFFFF"/>
        <w:spacing w:after="154" w:line="240" w:lineRule="auto"/>
        <w:jc w:val="center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Целевая подготовка специалистов</w:t>
      </w:r>
    </w:p>
    <w:p w:rsidR="00A71B13" w:rsidRPr="00A71B13" w:rsidRDefault="00A71B13" w:rsidP="00A71B13">
      <w:pPr>
        <w:shd w:val="clear" w:color="auto" w:fill="FFFFFF"/>
        <w:spacing w:after="154" w:line="240" w:lineRule="auto"/>
        <w:jc w:val="center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Уважаемые выпускники!</w:t>
      </w:r>
    </w:p>
    <w:p w:rsidR="00A71B13" w:rsidRPr="00A71B13" w:rsidRDefault="00A71B13" w:rsidP="00A71B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 xml:space="preserve">          В рамках </w:t>
      </w:r>
      <w:proofErr w:type="spellStart"/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профориентационной</w:t>
      </w:r>
      <w:proofErr w:type="spellEnd"/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 xml:space="preserve"> работы в период с конца февраля</w:t>
      </w:r>
      <w:r w:rsidRPr="00A71B13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по середину мая 2025 года в учреждении образования «Белорусский государственный медицинский университет» будет проходить бесплатная подготовка абитуриентов, заинтересованных в поступлении в университет</w:t>
      </w:r>
      <w:r w:rsidRPr="00A71B13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по договору о целевой подготовке.</w:t>
      </w:r>
    </w:p>
    <w:p w:rsidR="00A71B13" w:rsidRPr="00A71B13" w:rsidRDefault="00A71B13" w:rsidP="00A71B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         Подготовка по вопросам вступительных испытаний по биологии</w:t>
      </w:r>
      <w:r w:rsidRPr="00A71B13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и химии будет проходить в гибридном формате 25 двухчасовых лекций</w:t>
      </w:r>
      <w:r w:rsidRPr="00A71B13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с конца февраля по середину мая 2025 года в соответствии расписанием</w:t>
      </w:r>
    </w:p>
    <w:p w:rsidR="00A71B13" w:rsidRPr="00A71B13" w:rsidRDefault="00A71B13" w:rsidP="00A71B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 </w:t>
      </w:r>
    </w:p>
    <w:p w:rsidR="00A71B13" w:rsidRPr="00A71B13" w:rsidRDefault="00A71B13" w:rsidP="00A71B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          Запись на курс проводится по ссылке:</w:t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       </w:t>
      </w:r>
    </w:p>
    <w:p w:rsidR="00A71B13" w:rsidRPr="00A71B13" w:rsidRDefault="00DB7592" w:rsidP="00A71B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hyperlink r:id="rId5" w:history="1">
        <w:r w:rsidR="00A71B13" w:rsidRPr="00A71B13">
          <w:rPr>
            <w:rFonts w:ascii="Arial" w:eastAsia="Times New Roman" w:hAnsi="Arial" w:cs="Arial"/>
            <w:color w:val="0088D9"/>
            <w:sz w:val="27"/>
            <w:szCs w:val="27"/>
            <w:lang w:eastAsia="ru-RU"/>
          </w:rPr>
          <w:t>https://www.bsmu.by/abiturientu/territoriya-postupleniya/podgotovka-abiturientov-zainteresovannykh-v-tselevoy-podgotovke/</w:t>
        </w:r>
      </w:hyperlink>
      <w:r w:rsidR="00A71B13"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     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 xml:space="preserve">          Санитарно-эпидемиологическая служба является одной из важных отраслей здравоохранения, деятельность врачей профилактического профиля направлена на обеспечение санитарно-эпидемиологического благополучия, сохранение и укрепление здоровья населения, формирование и поддержание у населения </w:t>
      </w:r>
      <w:proofErr w:type="spellStart"/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здоровьесберегающего</w:t>
      </w:r>
      <w:proofErr w:type="spellEnd"/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 xml:space="preserve"> поведения и др.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lastRenderedPageBreak/>
        <w:t>          В настоящее время имеется значительная востребованность в специалистах медико-профилактического профиля. Выпускники медико-профилактического факультета могут работать по следующим направлениям: гигиена, эпидемиология (врач-гигиенист, врач-эпидемиолог, врач-клинический эпидемиолог, врач по медицинской профилактике), лабораторные исследования (врач-лаборант).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          ГУ «Витебский областной центр гигиены, эпидемиологии</w:t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  <w:br/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и общественного здоровья» приглашает абитуриентов для заключения договоров на получение образования на условиях целевой подготовки</w:t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  <w:br/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в УО «Белорусский государственный медицинский университет»,</w:t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  <w:br/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УО «Гомельский государственный медицинский университет»</w:t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  <w:br/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по специальности «медико-профилактическое дело».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1"/>
        <w:rPr>
          <w:rFonts w:ascii="inherit" w:eastAsia="Times New Roman" w:hAnsi="inherit" w:cs="Arial"/>
          <w:b/>
          <w:bCs/>
          <w:color w:val="1A1A1A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sz w:val="27"/>
          <w:szCs w:val="27"/>
          <w:lang w:eastAsia="ru-RU"/>
        </w:rPr>
        <w:t>          По окончании обучения в университете на условиях целевой подготовки распределение выпускников осуществляется в учреждения санитарно-эпидемиологической службы, расположенные в городах и районах Витебской области.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          В Витебской области осуществляют деятельность 23 центра гигиены и эпидемиологии: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          ГУ «Витебский областной цент гигиены, эпидемиологии и общественного здоровья» в г. Витебске;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          3 зональных центра гигиены и эпидемиологии в городах: Витебск, Полоцк и Орша;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          1 городской центр гигиены и эпидемиологии в г. Новополоцке;</w:t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  <w:br/>
      </w: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          18 районных центров гигиены и эпидемиологии.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          В центрах гигиены и эпидемиологии области созданы надлежащие условия труда, молодым специалистам, наряду с заработной платой, предусмотрены материальные выплаты в соответствии с законодательством Республики Беларусь, частичная компенсация по найму жилья (арендное или комната в общежитии) и иных выплат, предусмотренных коллективными договорами. Имеется возможность участия в культурно-массовых мероприятиях, организации активного досуга и др.</w:t>
      </w:r>
    </w:p>
    <w:p w:rsidR="00A71B13" w:rsidRPr="00A71B13" w:rsidRDefault="00A71B13" w:rsidP="00A71B13">
      <w:pPr>
        <w:shd w:val="clear" w:color="auto" w:fill="FFFFFF"/>
        <w:spacing w:after="154" w:line="240" w:lineRule="auto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A71B13">
        <w:rPr>
          <w:rFonts w:ascii="inherit" w:eastAsia="Times New Roman" w:hAnsi="inherit" w:cs="Arial"/>
          <w:b/>
          <w:bCs/>
          <w:color w:val="1A1A1A"/>
          <w:kern w:val="36"/>
          <w:sz w:val="27"/>
          <w:szCs w:val="27"/>
          <w:lang w:eastAsia="ru-RU"/>
        </w:rPr>
        <w:t>          С целью оказания организационно-методической помощи при становлении в профессии за молодыми специалистами закрепляются опытные наставники. Молодые специалисты, проявившие деловые качества, включаются в кадровый резерв, в том числе на должности главных врачей центров гигиены и эпидемиологии.</w:t>
      </w:r>
    </w:p>
    <w:p w:rsidR="00A71B13" w:rsidRPr="00A71B13" w:rsidRDefault="00A71B13" w:rsidP="00A71B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</w:t>
      </w:r>
    </w:p>
    <w:p w:rsidR="00A71B13" w:rsidRPr="00A71B13" w:rsidRDefault="00A71B13" w:rsidP="00A71B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Уважаемый абитуриент!</w:t>
      </w:r>
    </w:p>
    <w:p w:rsidR="00A71B13" w:rsidRPr="00A71B13" w:rsidRDefault="00A71B13" w:rsidP="00A71B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 </w:t>
      </w:r>
    </w:p>
    <w:p w:rsidR="00A71B13" w:rsidRPr="00A71B13" w:rsidRDefault="00A71B13" w:rsidP="00A71B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lastRenderedPageBreak/>
        <w:t>          </w:t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Консультацию о порядке заключения договоров на условиях целевой подготовки вы можете получить в организационном отделе ГУ «Витебский областной центр гигиены, эпидемиологии и общественного здоровья»</w:t>
      </w:r>
      <w:r w:rsidRPr="00A71B13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         по адресу: </w:t>
      </w:r>
      <w:proofErr w:type="spellStart"/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г.Витебск</w:t>
      </w:r>
      <w:proofErr w:type="spellEnd"/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, ул. Ленина, 20, кабинет 1.15, 1.17</w:t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;</w:t>
      </w:r>
    </w:p>
    <w:p w:rsidR="00A71B13" w:rsidRPr="00A71B13" w:rsidRDefault="00A71B13" w:rsidP="00A71B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         телефоны для справок: </w:t>
      </w:r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8-0212-61-79-60</w:t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(</w:t>
      </w:r>
      <w:proofErr w:type="spellStart"/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Муквич</w:t>
      </w:r>
      <w:proofErr w:type="spellEnd"/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 xml:space="preserve"> Нина Александровна);</w:t>
      </w:r>
    </w:p>
    <w:p w:rsidR="00A71B13" w:rsidRPr="00A71B13" w:rsidRDefault="00A71B13" w:rsidP="00A71B13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1B13">
        <w:rPr>
          <w:rFonts w:ascii="Arial" w:eastAsia="Times New Roman" w:hAnsi="Arial" w:cs="Arial"/>
          <w:b/>
          <w:bCs/>
          <w:color w:val="1A1A1A"/>
          <w:sz w:val="27"/>
          <w:szCs w:val="27"/>
          <w:lang w:eastAsia="ru-RU"/>
        </w:rPr>
        <w:t>          8-0212-61-60-79 </w:t>
      </w:r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(</w:t>
      </w:r>
      <w:proofErr w:type="spellStart"/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Захматова</w:t>
      </w:r>
      <w:proofErr w:type="spellEnd"/>
      <w:r w:rsidRPr="00A71B13">
        <w:rPr>
          <w:rFonts w:ascii="Arial" w:eastAsia="Times New Roman" w:hAnsi="Arial" w:cs="Arial"/>
          <w:color w:val="1A1A1A"/>
          <w:sz w:val="27"/>
          <w:szCs w:val="27"/>
          <w:lang w:eastAsia="ru-RU"/>
        </w:rPr>
        <w:t xml:space="preserve"> Нина Владимировна).</w:t>
      </w:r>
    </w:p>
    <w:p w:rsidR="00E25EF8" w:rsidRDefault="00E25EF8"/>
    <w:sectPr w:rsidR="00E2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3"/>
    <w:rsid w:val="00A71B13"/>
    <w:rsid w:val="00DB7592"/>
    <w:rsid w:val="00E2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D0A8D-20E0-47C8-AECF-060DA44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29884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288587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mu.by/abiturientu/territoriya-postupleniya/podgotovka-abiturientov-zainteresovannykh-v-tselevoy-podgotovk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2025-04-02T10:01:00Z</dcterms:created>
  <dcterms:modified xsi:type="dcterms:W3CDTF">2025-04-02T10:01:00Z</dcterms:modified>
</cp:coreProperties>
</file>