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2F" w:rsidRPr="0008252F" w:rsidRDefault="0008252F" w:rsidP="0008252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1B1B1B"/>
          <w:spacing w:val="1"/>
          <w:sz w:val="27"/>
          <w:szCs w:val="27"/>
          <w:lang w:eastAsia="ru-RU"/>
        </w:rPr>
      </w:pPr>
      <w:r w:rsidRPr="0008252F">
        <w:rPr>
          <w:rFonts w:ascii="Arial" w:eastAsia="Times New Roman" w:hAnsi="Arial" w:cs="Arial"/>
          <w:color w:val="1B1B1B"/>
          <w:spacing w:val="1"/>
          <w:sz w:val="27"/>
          <w:szCs w:val="27"/>
          <w:lang w:eastAsia="ru-RU"/>
        </w:rPr>
        <w:t>Обеспечение безопасности осуществления платежей в сети интернет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В настоящее время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киберпреступность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 представляет серьезную угрозу для развития экономики и общества. За последние годы количество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киберпреступлений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 значительно увеличилось, что требует принятия срочных мер для защиты информации и обеспечения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кибербезопасности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. Одной из основных проблем является недостаточная осведомленность о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кибербезопасности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 среди населения. Многие граждане не принимают достаточных мер предосторожности при использовании сети Интернет, что делает их уязвимыми перед преступниками.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По статистике женщины в 2 раза чаще становятся потерпевшими, чем мужчины. Абсолютное большинство проживает в городах. Люди с высшим в равной степени, как и со средним образованием, подвержены обману. Среди жертв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киберпреступников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, в основном, экономически активные граждане, представляющие практически все сферы деятельности – бухгалтеры, экономисты, директоры, заместители директоров частных и государственных учреждений, начальники управлений и отделов госучреждений, педагоги, врачи и медсестры, студенты, юристы, программисты и представители других специальностей.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Мошенники регулярно меняют свои схемы обмана граждан, чтобы похитить их деньги. Основными формами обмана являются телефонное и интернет-мошенничество, а также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фишинговые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 ресурсы.</w:t>
      </w:r>
    </w:p>
    <w:p w:rsidR="0008252F" w:rsidRPr="0008252F" w:rsidRDefault="0008252F" w:rsidP="0008252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ТЕЛЕФОННОЕ МОШЕННИЧЕСТВО – ВИШИНГ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Мошенники под видом работников банка, операторов связи или государственных органов обращаются к гражданам, создают стрессовую ситуацию, сообщают о проблеме, а потом предлагают помощь в ее решении. При этом, чтобы войти в доверие, могут выслать фото служебных документов или даже выйти на видеосвязь в мессенджере.</w:t>
      </w:r>
    </w:p>
    <w:p w:rsidR="0008252F" w:rsidRPr="0008252F" w:rsidRDefault="0008252F" w:rsidP="0008252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Распространен способ, когда мошенники, используя различные вымышленные ситуации, убеждают потенциальных жертв загрузить направленный в мессенджере файл или установить </w:t>
      </w:r>
      <w:r w:rsidRPr="0008252F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определенное мобильное приложение</w:t>
      </w: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. В обоих случаях мошенники получают возможность удаленно управлять устройством, на котором установлено. Таким образом они получают доступ к личным данным пользователей, в том числе имеют возможность оформить онлайн-кредит. Также злоумышленники убеждают </w:t>
      </w:r>
      <w:r w:rsidRPr="0008252F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оформить кредиты в банках</w:t>
      </w: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, а деньги перевести на «защищенный» счет.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Всегда надо быть начеку и не доверять незнакомым, ни под каким предлогом не устанавливать непроверенные программы и файлы, полученные в мессенджере от неизвестных, не передавать кому бы то ни было деньги и не переводить их на банковские счета по указанию незнакомых.</w:t>
      </w:r>
    </w:p>
    <w:p w:rsidR="0008252F" w:rsidRPr="0008252F" w:rsidRDefault="0008252F" w:rsidP="0008252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 xml:space="preserve">В Орше в течение нескольких дней женщине звонили с незнакомых номеров. В конечном итоге она согласилась выслушать </w:t>
      </w:r>
      <w:proofErr w:type="spellStart"/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>псевдоследователя</w:t>
      </w:r>
      <w:proofErr w:type="spellEnd"/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 xml:space="preserve">. Он ошарашил ее тем, что с ее счета фиксируются незаконные операции на мошеннические счета и необходимо их предотвратить и установить злоумышленников. Женщина отказывалась верить ему, тогда с ней продолжил беседу по видеосвязи якобы </w:t>
      </w:r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lastRenderedPageBreak/>
        <w:t xml:space="preserve">работник одного известного банка, который был в деловой форме одежды с атрибутами банка. Женщина поверила звонившим и по их рекомендации установила приложение, которое позволило мошенникам видеть все происходящее на ее телефоне, в том числе смс-коды. В разговоре с </w:t>
      </w:r>
      <w:proofErr w:type="spellStart"/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>лжебанкиром</w:t>
      </w:r>
      <w:proofErr w:type="spellEnd"/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 xml:space="preserve"> она назвала кодовое слово – девичью фамилию матери, а уже сообщники мошенников воспользовались этим и оформили на женщину овердрафт и онлайн-кредит прямо во время разговора и перевели их на свои счета. Всего у женщины похитили 18 тысяч рублей.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Мошенники для совершения преступлений изучают свою жертву, собирают в сети Интернет данные о ней и ее интересах, окружении и прочем. Имея образец голоса или фото знакомых, могут создавать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фейковые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 текстовые или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видеосообщения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.</w:t>
      </w:r>
    </w:p>
    <w:p w:rsidR="0008252F" w:rsidRPr="0008252F" w:rsidRDefault="0008252F" w:rsidP="0008252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 xml:space="preserve">Например, в мае зарегистрировано несколько подобных фактов. В мессенджере мошенники создали учетную запись руководителя </w:t>
      </w:r>
      <w:proofErr w:type="spellStart"/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>госорганизации</w:t>
      </w:r>
      <w:proofErr w:type="spellEnd"/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 xml:space="preserve"> и от его имени написали сотруднице, что поступили списки работников, которые подозреваются в финансировании </w:t>
      </w:r>
      <w:proofErr w:type="spellStart"/>
      <w:r w:rsidRPr="0008252F">
        <w:rPr>
          <w:rFonts w:ascii="PT Sans" w:eastAsia="Times New Roman" w:hAnsi="PT Sans" w:cs="Times New Roman"/>
          <w:b/>
          <w:bCs/>
          <w:i/>
          <w:iCs/>
          <w:color w:val="1B1B1B"/>
          <w:spacing w:val="1"/>
          <w:sz w:val="26"/>
          <w:szCs w:val="26"/>
          <w:lang w:eastAsia="ru-RU"/>
        </w:rPr>
        <w:t>экстремистских</w:t>
      </w:r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>формирований</w:t>
      </w:r>
      <w:proofErr w:type="spellEnd"/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>, и вскоре, возможно, в жилье женщины проведут обыск и </w:t>
      </w:r>
      <w:r w:rsidRPr="0008252F">
        <w:rPr>
          <w:rFonts w:ascii="PT Sans" w:eastAsia="Times New Roman" w:hAnsi="PT Sans" w:cs="Times New Roman"/>
          <w:b/>
          <w:bCs/>
          <w:i/>
          <w:iCs/>
          <w:color w:val="1B1B1B"/>
          <w:spacing w:val="1"/>
          <w:sz w:val="26"/>
          <w:szCs w:val="26"/>
          <w:lang w:eastAsia="ru-RU"/>
        </w:rPr>
        <w:t>изымут незадекларированные</w:t>
      </w:r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> денежные средства. Женщина очень испугалась за свои деньги, потому что доверяла руководителю. Далее мошенники от имени ее руководителя предложили пообщаться с Начальником Департамента финансовых расследований области, который в свою очередь связал ее со следователем. В течение трех дней женщина пребывала в страхе за свои сбережения. Чтобы сохранить их мошенники «посоветовали» перевести их на якобы специальный защищенный счет. Также женщина за неделю получила кредит, обналичила его и перевела на тот же счет. откуда вскоре все деньги в сумме 55 тысяч были похищены.</w:t>
      </w:r>
    </w:p>
    <w:p w:rsidR="0008252F" w:rsidRPr="0008252F" w:rsidRDefault="0008252F" w:rsidP="0008252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>Аналогичные случаи зафиксированы в отношении педагогических работников области, мошенники в мессенджере писали от имени директоров учебных заведений. Более 7 педагогов обратились в милицию в течение 3 дней, некоторые обращались позже. В основном, мошенники убеждали учителей получить кредиты в банках.</w:t>
      </w:r>
    </w:p>
    <w:p w:rsidR="0008252F" w:rsidRPr="0008252F" w:rsidRDefault="0008252F" w:rsidP="0008252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Мошенники регулярно подбирают новые способы обмана, чтобы получить деньги. В сети Интернет размещают рекламу якобы </w:t>
      </w:r>
      <w:r w:rsidRPr="0008252F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инвестиционных платформ</w:t>
      </w: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, которых на самом деле не существует, чтобы заманить вкладчиков и похитить их деньги. Первым шагом для связи с куратором является заполнение формы, где необходимо оставить свои имя и телефон. Далее с заинтересовавшимся связывается так называемый куратор, под руководством которого в надежде заработать легкие деньги потенциальная жертва сама переводит деньги на электронный кошелек. Чтобы получить хотя бы вложенные деньги обратно, мошенники требуют заплатить комиссии, взносы и т.д. Некоторое время мошенники рисуют жертве их прибыль, пока у обманутого человека не закончатся деньги, потом связь с ним прекращается. Деньги остаются на мошеннических счетах.</w:t>
      </w:r>
    </w:p>
    <w:p w:rsidR="0008252F" w:rsidRPr="0008252F" w:rsidRDefault="0008252F" w:rsidP="0008252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 xml:space="preserve">Молодой </w:t>
      </w:r>
      <w:proofErr w:type="spellStart"/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>витебчанин</w:t>
      </w:r>
      <w:proofErr w:type="spellEnd"/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 xml:space="preserve"> заинтересовался возможностью вложить свои деньги в инвестиционный проект. После того как он выполнил указания куратора и перевел деньги на цифровой кошелек, сумма его денег стала якобы увеличиваться, в своем аккаунте на платформе молодой человек видел прибыль, однако, как только он попытался вывести деньги, его сразу же заблокировали. Он дважды </w:t>
      </w:r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lastRenderedPageBreak/>
        <w:t>находил в интернете фирмы по оказанию помощи по выводу денег, однако ни одна «фирма» ему не оказала должных услуг, после чего мужчина обратился в милицию. Всего он потерял более 20 тысяч рублей.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Чтобы не стать жертвой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киберпреступника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, как можно раньше закончите разговор с неизвестным лицом, кем бы он не представился.</w:t>
      </w:r>
    </w:p>
    <w:p w:rsidR="0008252F" w:rsidRPr="0008252F" w:rsidRDefault="0008252F" w:rsidP="0008252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 xml:space="preserve">ФЕЙКОВЫЕ МАГАЗИНЫ в </w:t>
      </w:r>
      <w:proofErr w:type="spellStart"/>
      <w:r w:rsidRPr="0008252F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соцсетях</w:t>
      </w:r>
      <w:proofErr w:type="spellEnd"/>
    </w:p>
    <w:p w:rsidR="0008252F" w:rsidRPr="0008252F" w:rsidRDefault="0008252F" w:rsidP="0008252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Ежедневно в милицию обращаются и те, кто сами перевели </w:t>
      </w:r>
      <w:r w:rsidRPr="0008252F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предоплату за товар</w:t>
      </w: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, который нашли в объявлениях в социальных сетях и на торговых площадках, и не получили его. Мошенники намеренно создают аккаунты от имени магазинов, в которых размещают объявления несуществующих товаров с заниженными ценами (обувь, одежда, мобильные телефоны, постельное белье, новогодние ели, садовые кресла-качалки-коконы и другие товары). Потенциальный покупатель связывается с администратором «магазина», ему обещают доставить товар после полной оплаты. Оплату предлагают произвести на банковскую карту или на счет через ЕРИП. Однако после получения денежных средств, товар не высылают, а покупателя блокируют.</w:t>
      </w:r>
    </w:p>
    <w:p w:rsidR="0008252F" w:rsidRPr="0008252F" w:rsidRDefault="0008252F" w:rsidP="0008252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ФИШИНГ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С целью получения личных данных владельцев счетов мошенники создают страницы-клоны банков, сайтов театров, кальянных и инвестиционных (торговых) бирж.</w:t>
      </w:r>
    </w:p>
    <w:p w:rsidR="0008252F" w:rsidRPr="0008252F" w:rsidRDefault="0008252F" w:rsidP="0008252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>Молодая мама из Орши, находящаяся в декретном отпуске, перевела на предоставленный счет через ЕРИП 2 тысячи рублей за телефон, но не получила его. Тогда мошенники предложили ей получить свои деньги обратно на банковскую карту. Они направили в мессенджере ссылку, перейдя по которой, девушка ввела в ячейки номер карты и секретный код с оборотной стороны, предназначенный только для расходных операций. Завладев этими сведениями, мошенники обманули ее еще раз, списав с карты все деньги.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Для предотвращения подобного необходимо:</w:t>
      </w:r>
    </w:p>
    <w:p w:rsidR="0008252F" w:rsidRPr="0008252F" w:rsidRDefault="0008252F" w:rsidP="0008252F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задуматься о причинах низкой цены на товар, отличающейся от цены за тот же товар на сайте или насторожиться почему у магазина нет </w:t>
      </w:r>
      <w:proofErr w:type="gram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сайта ;</w:t>
      </w:r>
      <w:proofErr w:type="gramEnd"/>
    </w:p>
    <w:p w:rsidR="0008252F" w:rsidRPr="0008252F" w:rsidRDefault="0008252F" w:rsidP="0008252F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тщательно проверять информацию о магазине: связаться с продавцом по белорусскому номеру по мобильной связи, а не через Интернет;</w:t>
      </w:r>
    </w:p>
    <w:p w:rsidR="0008252F" w:rsidRPr="0008252F" w:rsidRDefault="0008252F" w:rsidP="0008252F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использовать отдельную карту для расчетов в сети Интернет;</w:t>
      </w:r>
    </w:p>
    <w:p w:rsidR="0008252F" w:rsidRPr="0008252F" w:rsidRDefault="0008252F" w:rsidP="0008252F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не переходить по ссылкам от неизвестных вам лиц;</w:t>
      </w:r>
    </w:p>
    <w:p w:rsidR="0008252F" w:rsidRPr="0008252F" w:rsidRDefault="0008252F" w:rsidP="0008252F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проверять адрес страницы, где вводите данные карты (для белорусских организаций в адресной строке должно быть так: «название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сайта</w:t>
      </w:r>
      <w:proofErr w:type="gram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».BY</w:t>
      </w:r>
      <w:proofErr w:type="spellEnd"/>
      <w:proofErr w:type="gram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/«раздел сайта»);</w:t>
      </w:r>
    </w:p>
    <w:p w:rsidR="0008252F" w:rsidRPr="0008252F" w:rsidRDefault="0008252F" w:rsidP="0008252F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подключить в настройках карты бесплатную услугу от банка «3-D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Secure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».</w:t>
      </w:r>
    </w:p>
    <w:p w:rsidR="0008252F" w:rsidRPr="0008252F" w:rsidRDefault="0008252F" w:rsidP="0008252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СВАТИНГ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lastRenderedPageBreak/>
        <w:t xml:space="preserve">В молодежной игровой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киберсреде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 распространяется тренд под названием «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сватинг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». Его суть заключается в том, чтобы создать неблагоприятную обстановку госорганам, нарушить режим их работы, или отомстить своему обидчику, создав для него проблемы с правоохранительными органами. За первое полугодие 2024 года в области выявлено 4, а за предыдущие 2 года – восемь школьников, которые организовывали рассылку писем на электронные почтовые ящики организаций Беларуси и других стран с ложными сообщениями о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заминировании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 объектов.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Все установленные лица – несовершеннолетние, самому младшему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сватеру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 12 лет, все они намеренно использовали методы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деанонимизации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 и специальное программное обеспечение, как они думали, позволяющее скрыть следы. Подростки интересовались темой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сватинга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 и в большинстве случаев знали, что за совершение данных деяний уголовная ответственность наступает с 14 лет и предусматривает вплоть до 7 лет лишения свободы.</w:t>
      </w:r>
    </w:p>
    <w:p w:rsidR="0008252F" w:rsidRPr="0008252F" w:rsidRDefault="0008252F" w:rsidP="0008252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ВОВЛЕЧЕНИЕ В КИБЕРПРЕСТУПНОСТЬ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Для получения за границей похищенных денег, а также для запутывания «цифровых следов» мошенникам необходимо перевести их через промежуточные счета, открытые в белорусских банках на подставных лиц, так называемых «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дропов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». Часто промежуточных счетов бывает более десятка. Имеются факты, когда полученные незаконным путем деньги проходили через 72 промежуточных банковских счета, доступ к которым мошенники покупали у их владельцев.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В нашей стране открыть банковский счет может дееспособный гражданин с 14 лет, то есть даже несовершеннолетние могут открыть банковские счета. Этим целях пользуются преступники. Находясь за границей, злоумышленники подбирают лиц, которые согласятся открыть банковский счет на свое имя и продать за небольшую сумму реквизиты доступа к нему – это логины и пароли для входа в личный кабинет в интернет-банкинге, а также предоставить разовый смс-код или карту кодов.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Напрямую мошенники в интернете не могут размещать объявления о поиске таких лиц, поэтому свой интерес они прикрывают предложением различного другого заработка, не вызывающего подозрения. Например, в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Telegram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 рассылают объявления о поиске курьеров в любом городе со стабильной оплатой труда или людей для разгрузки товаров, или людей на вакансию «тайный покупатель», или заманивают обещанием высокой и быстрой оплаты.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Чаще всего отзываются на такие вакансии лица с нестабильным или небольшим доходом, в большинстве – молодежь. Сначала инициатор объявления разочаровывает заинтересовавшегося подработкой, сообщает, что данная вакансия уже закрыта, и тут же предлагает иной вид заработка, например, оформить банковский счет и передать за вознаграждение данные для доступа к нему.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Кроме похищенных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киберпреступниками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 денег по промежуточным счетам также могут проводиться деньги, полученные от незаконного оборота наркотиков. Ответственность за возникновение прошедших по банковским счетам денег несут владельцы таких счетов.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lastRenderedPageBreak/>
        <w:t>Надо знать, что в нашем законодательстве статьей 222 Уголовного кодекса предусмотрена ответственность вплоть до 10 лет лишения свободы за изготовление в целях сбыта либо сбыт банковских платежных карт или иных платежных инструментов, таких как банковские счета или электронные кошельки, а также распространение данных доступа к ним.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Имеются факты, когда в преступную деятельность были вовлечены несовершеннолетние.</w:t>
      </w:r>
    </w:p>
    <w:p w:rsidR="0008252F" w:rsidRPr="0008252F" w:rsidRDefault="0008252F" w:rsidP="0008252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 xml:space="preserve">16 подростков из двух учреждений среднего специального образования области, связавшись с заказчиком из Интернета, оформляли на свое имя банковские карты и за вознаграждение от 15 до 50 рублей передавали их для использования неустановленным лицам. С использованием этих банковских карт </w:t>
      </w:r>
      <w:proofErr w:type="spellStart"/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>киберпреступники</w:t>
      </w:r>
      <w:proofErr w:type="spellEnd"/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 xml:space="preserve"> переводили похищенные деньги. В отношении 8 подростков возбуждены уголовные дела, в отношении остальных – проводится проверка и решается вопрос о возбуждении уголовных дел.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Кроме этого, имеются примеры вовлечения подростков в преступную цепочку другим способом.</w:t>
      </w:r>
    </w:p>
    <w:p w:rsidR="0008252F" w:rsidRPr="0008252F" w:rsidRDefault="0008252F" w:rsidP="0008252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 xml:space="preserve">14-летний ученик Витебской школы попросил на некоторое время в пользование у своего 15-летнего одноклассника его банковскую платежную карту. Парень зарегистрировал аккаунт на </w:t>
      </w:r>
      <w:proofErr w:type="spellStart"/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>криптовалютной</w:t>
      </w:r>
      <w:proofErr w:type="spellEnd"/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 xml:space="preserve"> бирже. Неизвестные лица связались с ним и предложили заработать. Молодой человек предоставил реквизиты банковской карты одноклассника, на которую он получил 10 000 рублей, а после чего для них купил </w:t>
      </w:r>
      <w:proofErr w:type="spellStart"/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>криптовалюту</w:t>
      </w:r>
      <w:proofErr w:type="spellEnd"/>
      <w:r w:rsidRPr="0008252F">
        <w:rPr>
          <w:rFonts w:ascii="PT Sans" w:eastAsia="Times New Roman" w:hAnsi="PT Sans" w:cs="Times New Roman"/>
          <w:i/>
          <w:iCs/>
          <w:color w:val="1B1B1B"/>
          <w:spacing w:val="1"/>
          <w:sz w:val="26"/>
          <w:szCs w:val="26"/>
          <w:lang w:eastAsia="ru-RU"/>
        </w:rPr>
        <w:t xml:space="preserve"> на всю сумму. В ходе проверки установлено, что полученные деньги были похищены у пенсионера из Витебска.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Таким образом, школьник оказал услуги по покупке-продаже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криптовалюты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 третьим лицам, что влечет ответственность за незаконную предпринимательскую деятельность по ч.3 ст. 13.3 КоАП Республики Беларусь. Совершение сделок на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криптовалютной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 бирже подростками – не единичный случай. Через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криптокошелек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 другого подростка прошло более 450 тысяч рублей.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За совершение сделок с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криптовалютой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 в пользу третьих лиц грозит крупный штраф и обращение в доход государства до ста процентов суммы дохода, полученного в результате такой деятельности.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Приложение: листовка об ответственности</w:t>
      </w:r>
    </w:p>
    <w:p w:rsidR="0008252F" w:rsidRPr="0008252F" w:rsidRDefault="0008252F" w:rsidP="0008252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ПРЕДПРИЯТИЯ </w:t>
      </w: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В области регистрируются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киберпреступления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, направленные на завладение денежными средствами субъектов хозяйствования, в том числе, государственных предприятий Республики Беларусь.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Хакеры заранее планируют и получают несанкционированный доступ к данным организации, превращают их в беспорядочный набор символов и предлагают расшифровать их после перечисления денежных средств на указанный счет. Злоумышленники прежде всего рассчитывают на человеческие ошибки и </w:t>
      </w:r>
      <w:proofErr w:type="spellStart"/>
      <w:proofErr w:type="gram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слабости,а</w:t>
      </w:r>
      <w:proofErr w:type="spellEnd"/>
      <w:proofErr w:type="gram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 не на уязвимость программного обеспечения, которую гораздо сложнее преодолеть.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lastRenderedPageBreak/>
        <w:t>Необходимо понимать, что злоумышленник не сможет достичь своей цели и похитить денежные средства, если атака будет своевременно выявлена и остановлена, а это возможно на любом ее этапе при принятии соответствующих мер защиты, направленных на сохранение благосостояния, в том числе при соблюдении работниками следующих правил:</w:t>
      </w:r>
    </w:p>
    <w:p w:rsidR="0008252F" w:rsidRPr="0008252F" w:rsidRDefault="0008252F" w:rsidP="000825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обеспечивать должный уровень информационной безопасности</w:t>
      </w: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 в соответствии с развитием и обновлением программного обеспечения, а также нормативно-правовыми актами Республики Беларусь</w:t>
      </w:r>
    </w:p>
    <w:p w:rsidR="0008252F" w:rsidRPr="0008252F" w:rsidRDefault="0008252F" w:rsidP="000825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регулярно осуществлять резервное копирование</w:t>
      </w: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 важных данных;</w:t>
      </w:r>
    </w:p>
    <w:p w:rsidR="0008252F" w:rsidRPr="0008252F" w:rsidRDefault="0008252F" w:rsidP="000825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никогда не доверять отправителю электронного письма</w:t>
      </w: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, перепроверять указанную информацию, а также основные идентификационные данные и служебные заголовки электронных писем (можно узнать и </w:t>
      </w:r>
      <w:proofErr w:type="spellStart"/>
      <w:proofErr w:type="gram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проанализироватьip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-адрес отправителя письма</w:t>
      </w:r>
      <w:proofErr w:type="gram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 и иную необходимую информацию), прежде чем ответить на письмо, даже если вам пишет давний партнер с нового адреса;</w:t>
      </w:r>
    </w:p>
    <w:p w:rsidR="0008252F" w:rsidRPr="0008252F" w:rsidRDefault="0008252F" w:rsidP="000825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не переходить по ссылкам и не открывать вложения</w:t>
      </w: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, если отправитель письма не тот, кем он представился;</w:t>
      </w:r>
    </w:p>
    <w:p w:rsidR="0008252F" w:rsidRPr="0008252F" w:rsidRDefault="0008252F" w:rsidP="000825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в случае изменения реквизитов расчетного счета партнера, </w:t>
      </w:r>
      <w:r w:rsidRPr="0008252F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устанавливать данный факт по любым другим каналам связи</w:t>
      </w: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 (лично, по телефону и т.д.);</w:t>
      </w:r>
    </w:p>
    <w:p w:rsidR="0008252F" w:rsidRPr="0008252F" w:rsidRDefault="0008252F" w:rsidP="000825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использовать ключ ЭЦП (электронной цифровой подписи) непосредственно при работе</w:t>
      </w: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 с соответствующим программным обеспечением, извлекать его из USB-порта после окончания работы;</w:t>
      </w:r>
    </w:p>
    <w:p w:rsidR="0008252F" w:rsidRPr="0008252F" w:rsidRDefault="0008252F" w:rsidP="000825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тщательно проверять адрес и домен сайта, дата его создания;</w:t>
      </w:r>
    </w:p>
    <w:p w:rsidR="0008252F" w:rsidRPr="0008252F" w:rsidRDefault="0008252F" w:rsidP="000825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своевременно менять пароли к учетным записям</w:t>
      </w: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, в том числе при перемещении, увольнении или приеме нового работника;</w:t>
      </w:r>
    </w:p>
    <w:p w:rsidR="0008252F" w:rsidRPr="0008252F" w:rsidRDefault="0008252F" w:rsidP="000825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немедленно сменить пароль и(или) заблокировать счета</w:t>
      </w: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 в случае введения реквизитов доступа на подозрительном сайте;</w:t>
      </w:r>
    </w:p>
    <w:p w:rsidR="0008252F" w:rsidRPr="0008252F" w:rsidRDefault="0008252F" w:rsidP="000825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b/>
          <w:bCs/>
          <w:color w:val="1B1B1B"/>
          <w:spacing w:val="1"/>
          <w:sz w:val="26"/>
          <w:szCs w:val="26"/>
          <w:lang w:eastAsia="ru-RU"/>
        </w:rPr>
        <w:t>всегда быть бдительным</w:t>
      </w: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 и проверять полученную информацию.</w:t>
      </w:r>
    </w:p>
    <w:p w:rsidR="0008252F" w:rsidRPr="0008252F" w:rsidRDefault="0008252F" w:rsidP="0008252F">
      <w:pPr>
        <w:shd w:val="clear" w:color="auto" w:fill="FFFFFF"/>
        <w:spacing w:before="180" w:after="180" w:line="240" w:lineRule="auto"/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</w:pPr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Управление по противодействию </w:t>
      </w:r>
      <w:proofErr w:type="spellStart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>киберпреступности</w:t>
      </w:r>
      <w:proofErr w:type="spellEnd"/>
      <w:r w:rsidRPr="0008252F">
        <w:rPr>
          <w:rFonts w:ascii="PT Sans" w:eastAsia="Times New Roman" w:hAnsi="PT Sans" w:cs="Times New Roman"/>
          <w:color w:val="1B1B1B"/>
          <w:spacing w:val="1"/>
          <w:sz w:val="26"/>
          <w:szCs w:val="26"/>
          <w:lang w:eastAsia="ru-RU"/>
        </w:rPr>
        <w:t xml:space="preserve"> КМ УВД Витебского облисполкома</w:t>
      </w:r>
    </w:p>
    <w:p w:rsidR="0073453D" w:rsidRDefault="0073453D" w:rsidP="0008252F">
      <w:bookmarkStart w:id="0" w:name="_GoBack"/>
      <w:bookmarkEnd w:id="0"/>
    </w:p>
    <w:sectPr w:rsidR="0073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64144"/>
    <w:multiLevelType w:val="multilevel"/>
    <w:tmpl w:val="2C08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4218F"/>
    <w:multiLevelType w:val="multilevel"/>
    <w:tmpl w:val="2CB0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2F"/>
    <w:rsid w:val="0008252F"/>
    <w:rsid w:val="0073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28BE6-79D5-4CB7-8960-F0BEA5AE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2025-07-10T09:09:00Z</dcterms:created>
  <dcterms:modified xsi:type="dcterms:W3CDTF">2025-07-10T09:10:00Z</dcterms:modified>
</cp:coreProperties>
</file>