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DB" w:rsidRDefault="008D1186">
      <w:pPr>
        <w:pStyle w:val="Bodytext30"/>
        <w:shd w:val="clear" w:color="auto" w:fill="auto"/>
        <w:ind w:left="1400"/>
      </w:pPr>
      <w:bookmarkStart w:id="0" w:name="_GoBack"/>
      <w:r>
        <w:t>Надзорные мероприятий в части соблюдения требований</w:t>
      </w:r>
    </w:p>
    <w:p w:rsidR="006966DB" w:rsidRDefault="008D1186">
      <w:pPr>
        <w:pStyle w:val="Bodytext30"/>
        <w:shd w:val="clear" w:color="auto" w:fill="auto"/>
        <w:ind w:left="20"/>
        <w:jc w:val="center"/>
      </w:pPr>
      <w:r>
        <w:t>технического регламента Таможенного союза «О безопасности</w:t>
      </w:r>
      <w:r>
        <w:br/>
        <w:t>оборудования</w:t>
      </w:r>
      <w:r>
        <w:rPr>
          <w:rStyle w:val="Bodytext327ptNotItalic"/>
          <w:b/>
          <w:bCs/>
        </w:rPr>
        <w:t xml:space="preserve">, </w:t>
      </w:r>
      <w:r>
        <w:t>работающего под избыточным давлением»</w:t>
      </w:r>
    </w:p>
    <w:p w:rsidR="006966DB" w:rsidRDefault="008D1186">
      <w:pPr>
        <w:pStyle w:val="Bodytext30"/>
        <w:shd w:val="clear" w:color="auto" w:fill="auto"/>
        <w:spacing w:after="296"/>
        <w:ind w:left="4040"/>
      </w:pPr>
      <w:r>
        <w:t>(ТР ТС 032/2013)</w:t>
      </w:r>
    </w:p>
    <w:bookmarkEnd w:id="0"/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Продукция, выпускаемая в обращение на территории Союза, должна быть безопасной. Продукция, в отношении которой вступил в силу технический регламент Союза (технические регламенты Союза), выпускается в обращение на территории Союза при условии, что она прошла необходимые процедуры оценки соответствия, установленные техническим регламентом Союза (техническими регламентами Союза).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Государственный контроль (надзор) за соблюдением требований технических регламентов Союза проводится в порядке, установленном законодательством государств - членов.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Госпромнадзор осуществляет государственный надзор за соблюдением требований технических регламентов Таможенного союза, Евразийского экономического союза в области промышленной безопасности, в том числе технического регламента Таможенного союза «О безопасности оборудования, работающего под избыточным давлением» (далее - ТР ТС 032/2013).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Для формирования перечня субъектов в части государственного контроля (надзора) за соблюдением требований ТР ТС 032/2013 субъекту для заполнения в срок до 1 сентября при планировании на первое полугодие года и в срок до 1 марта на второе полугодие года направляется контрольный список вопросов (чек-лист). Форма исчерпывающего перечня вопросов установлена приложением 8 к постановлению Министерства по чрезвычайным ситуациям Республики Беларусь от 16 ноября 2020 года № 46. Субъект, заполнивший чек-лист не позднее 10 рабочих дней с момента его получения, заполняет и направляет его в Г оспромнадзор.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С учетом результатов анализа информации, представленной субъектами по чек-листу, достоверной информации, полученной от иных субъектов об имеющихся нарушениях требований ТР ТС 032/2013, с учетом установленных критериев риска посредством «Интегрированной автоматизированной системы контрольной (надзорной) деятельности в Республике Беларусь» формируется перечень субъектов и осуществляется их отбор.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Порядок организации и проведения проверок определен Положением о порядке организации и проведения проверок, утвержденный Указом Президента Республики Беларусь от 16 октября 2009 года № 510.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Проверки в части соблюдения требований ТР ТС 032/2013 могут проводится как в отношении изготовителей Республики Беларусь, так и в отношении изготовителей Республики Беларусь, так и в отношении уполномоченных изготовителей лиц, поставщиков, продавцов, импортеров на территории Республики Беларусь.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Уполномоченное изготовителем лицо - зарегистрированные в установленном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которые на основании договора с </w:t>
      </w:r>
      <w:r>
        <w:lastRenderedPageBreak/>
        <w:t>изготовителем, в том числе иностранным, осуществляют от имени этого изготовителя оценку соответствия и выпуск продукции в обращение, несут ответственность за несоответствие продукции требованиям технических регламентов Союза.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С 2024 года Г оспромнадзором организовано и проведен </w:t>
      </w:r>
      <w:r w:rsidR="00CD6978">
        <w:t>ряд</w:t>
      </w:r>
      <w:r>
        <w:t xml:space="preserve"> выборочных проверок соблюдения требований ТР ТС 032/2013</w:t>
      </w:r>
      <w:r w:rsidR="00CD6978">
        <w:t>, п</w:t>
      </w:r>
      <w:r>
        <w:t xml:space="preserve">о результатам </w:t>
      </w:r>
      <w:r w:rsidR="00CD6978">
        <w:t>которых</w:t>
      </w:r>
      <w:r>
        <w:t xml:space="preserve"> подготовлены и вручены руководителя</w:t>
      </w:r>
      <w:r w:rsidR="00CD6978">
        <w:t>м</w:t>
      </w:r>
      <w:r>
        <w:t xml:space="preserve"> проверяемых субъектов акты проверки, а также требования (предписания) об устранении нарушений в установленный срок, приняты иные меры в соответствии с требованиями законодательства в данной сфере контроля (надзора), в том числе вынесены решения о прекращении на территории Республики Беларусь действия документов об оценке (подтверждении) соответствия, должностные лица проверяемых субъектов привлечены в соответствии с КоАП к административной ответственности за выпуск продукции в обращение, в отношении которых установлены обязательные для соблюдения требования, технических регламентов Таможенного союза, Евразийского экономического союза.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Анализируя результаты проведенных выборочных проверок, можно выделить типичные нарушения требований ТР ТС 032/2013, а именно: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980"/>
        </w:tabs>
        <w:spacing w:before="0"/>
        <w:ind w:firstLine="740"/>
      </w:pPr>
      <w:r>
        <w:t>нарушение схем оценок подтверждения соответствия оборудования согласно п. 46, 47, 52 ТР ТС 032/2013;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firstLine="740"/>
      </w:pPr>
      <w:r>
        <w:t>нарушение требований при нанесении на оборудование маркировки в виде четких и нестираемых надписей, содержащих информацию согласно п. 29 ТР ТС 032/2013;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740"/>
      </w:pPr>
      <w:r>
        <w:t>нарушения при идентификации оборудования (элементы оборудования, выдерживающие воздействие давления, идентифицируются как арматура промышленная трубопроводная и наоборот);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740"/>
      </w:pPr>
      <w:r>
        <w:t>нарушения в комплектности документов, обосновывающих безопасность оборудования с учетом всех характерных для него факторов опасности и требований безопасности согласно п.11 ТР ТС 032/2013.</w:t>
      </w:r>
    </w:p>
    <w:p w:rsidR="006966DB" w:rsidRDefault="00CD6978">
      <w:pPr>
        <w:pStyle w:val="Bodytext20"/>
        <w:shd w:val="clear" w:color="auto" w:fill="auto"/>
        <w:spacing w:before="0"/>
        <w:ind w:firstLine="740"/>
      </w:pPr>
      <w:r>
        <w:t>В заключение</w:t>
      </w:r>
      <w:r w:rsidR="008D1186">
        <w:t xml:space="preserve"> хочется отметить, что соблюдение требований ТР ТС 032/2013 является гарантом безопасности эксплуатации оборудования на всех стадиях его жизненного цикла, т.е. с момента выпуска оборудования изготовителем до его утилизации.</w:t>
      </w:r>
    </w:p>
    <w:sectPr w:rsidR="006966DB">
      <w:pgSz w:w="11900" w:h="16840"/>
      <w:pgMar w:top="1164" w:right="819" w:bottom="85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27" w:rsidRDefault="00BB2227">
      <w:r>
        <w:separator/>
      </w:r>
    </w:p>
  </w:endnote>
  <w:endnote w:type="continuationSeparator" w:id="0">
    <w:p w:rsidR="00BB2227" w:rsidRDefault="00BB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27" w:rsidRDefault="00BB2227"/>
  </w:footnote>
  <w:footnote w:type="continuationSeparator" w:id="0">
    <w:p w:rsidR="00BB2227" w:rsidRDefault="00BB22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75A67"/>
    <w:multiLevelType w:val="multilevel"/>
    <w:tmpl w:val="C16CD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B"/>
    <w:rsid w:val="006966DB"/>
    <w:rsid w:val="008D1186"/>
    <w:rsid w:val="00BB2227"/>
    <w:rsid w:val="00CD6978"/>
    <w:rsid w:val="00E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4E73-66CF-4364-84AB-8B678C8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27ptNotItalic">
    <w:name w:val="Body text (3) + 27 pt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план – графиком тактико-специальных учений на 2022 год на филиале ЛПДС «»Мозырь» ОАО «Гомельтранснефть Дружба» проведены тренировочные тактико-специальные учения в которых приняла участие государственный инспектор Мозырского межрайонного</vt:lpstr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 – графиком тактико-специальных учений на 2022 год на филиале ЛПДС «»Мозырь» ОАО «Гомельтранснефть Дружба» проведены тренировочные тактико-специальные учения в которых приняла участие государственный инспектор Мозырского межрайонного</dc:title>
  <dc:creator>User</dc:creator>
  <cp:lastModifiedBy>User</cp:lastModifiedBy>
  <cp:revision>2</cp:revision>
  <dcterms:created xsi:type="dcterms:W3CDTF">2025-06-19T14:03:00Z</dcterms:created>
  <dcterms:modified xsi:type="dcterms:W3CDTF">2025-06-19T14:03:00Z</dcterms:modified>
</cp:coreProperties>
</file>