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80" w:rsidRDefault="00464EBF">
      <w:pPr>
        <w:pStyle w:val="Bodytext30"/>
        <w:shd w:val="clear" w:color="auto" w:fill="auto"/>
        <w:spacing w:after="298" w:line="300" w:lineRule="exact"/>
        <w:ind w:left="20"/>
      </w:pPr>
      <w:bookmarkStart w:id="0" w:name="_GoBack"/>
      <w:r>
        <w:t>Чтобы развлечение не обернулось трагедией!</w:t>
      </w:r>
    </w:p>
    <w:bookmarkEnd w:id="0"/>
    <w:p w:rsidR="007B1F80" w:rsidRDefault="00464EBF">
      <w:pPr>
        <w:pStyle w:val="Bodytext20"/>
        <w:shd w:val="clear" w:color="auto" w:fill="auto"/>
        <w:spacing w:before="0"/>
        <w:ind w:firstLine="740"/>
      </w:pPr>
      <w:r>
        <w:t>Аттракционы, как объекты сезонного вида развлечений с установлением теплой, летней погоды притягивают пристальное внимание наших граждан. Однако, ежегодно в нашей стране фиксируются нарушения стабильной работы аттракционов.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 xml:space="preserve">С целью исключения инцидентов при эксплуатации передвижных и надувных аттракционов </w:t>
      </w:r>
      <w:r w:rsidR="00AF12EB">
        <w:t>в Республике выработан</w:t>
      </w:r>
      <w:r>
        <w:t xml:space="preserve"> алгоритм обеспечения безопасности к данным объектам.</w:t>
      </w:r>
    </w:p>
    <w:p w:rsidR="007B1F80" w:rsidRDefault="00464EBF">
      <w:pPr>
        <w:pStyle w:val="Bodytext30"/>
        <w:shd w:val="clear" w:color="auto" w:fill="auto"/>
        <w:spacing w:after="0" w:line="341" w:lineRule="exact"/>
        <w:ind w:firstLine="740"/>
        <w:jc w:val="both"/>
      </w:pPr>
      <w:r>
        <w:t>Обязанности арендодателя земельного участка под передвижные аттракционы.</w:t>
      </w:r>
    </w:p>
    <w:p w:rsidR="007B1F80" w:rsidRDefault="00464EBF">
      <w:pPr>
        <w:pStyle w:val="Bodytext20"/>
        <w:numPr>
          <w:ilvl w:val="0"/>
          <w:numId w:val="1"/>
        </w:numPr>
        <w:shd w:val="clear" w:color="auto" w:fill="auto"/>
        <w:tabs>
          <w:tab w:val="left" w:pos="1130"/>
        </w:tabs>
        <w:spacing w:before="0"/>
        <w:ind w:firstLine="740"/>
      </w:pPr>
      <w:r>
        <w:t>Арендодатель перед заключением договора и выделением земельного участка, площадки, предоставляемых в соответствии с законодательством для установки и эксплуатации оборудования (далее - площадка), обязан проверить у владельца аттракциона наличие: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эксплуатационных документов паспорт (формуляр);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руководство по эксплуатации;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журнал учета эксплуатации оборудования;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журнал учета технического обслуживания, ремонта и модернизации оборудования;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информационного стенда для пользователей,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положительных результатов технического освидетельствования оборудования после сезонного хранения;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проверить правильность установки и эксплуатации оборудования в соответствии с требованиями руководства по эксплуатации и Правил.</w:t>
      </w:r>
    </w:p>
    <w:p w:rsidR="007B1F80" w:rsidRDefault="00464EBF">
      <w:pPr>
        <w:pStyle w:val="Bodytext20"/>
        <w:numPr>
          <w:ilvl w:val="0"/>
          <w:numId w:val="1"/>
        </w:numPr>
        <w:shd w:val="clear" w:color="auto" w:fill="auto"/>
        <w:tabs>
          <w:tab w:val="left" w:pos="1130"/>
        </w:tabs>
        <w:spacing w:before="0"/>
        <w:ind w:firstLine="740"/>
      </w:pPr>
      <w:r>
        <w:t>Выделяемая площадка должна соответствовать требованиям безопасности: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поверхность площадки под установку оборудования должна быть ровной и утрамбованной;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допускается установка оборудования на площадке с уклоном, не более 5%, если иное не предусмотрено изготовителем и не указано в эксплуатационных документах;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при выборе площадки под установку оборудования должны быть учтены расположенные на площадке и рядом с ней подземные (надземные) инженерные коммуникации (воздушные линии электропередачи, кабельные линии, водно- канализационные системы и иные коммуникации);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при возникновении возможных опасностей (инженерные коммуникации, ограждения, здания, сооружения, проезжая часть,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стоянки автомобилей, деревья и иные предметы, представляющие опасность) оборудование должно быть расположено на расстоянии, обеспечивающем его безопасную эксплуатацию;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lastRenderedPageBreak/>
        <w:t>при расположении группы аттракционов следует размещать их с учетом минимальных расстояний, обеспечивающих их безопасную эксплуатацию;</w:t>
      </w:r>
    </w:p>
    <w:p w:rsidR="007B1F80" w:rsidRDefault="00464EBF">
      <w:pPr>
        <w:pStyle w:val="Bodytext20"/>
        <w:shd w:val="clear" w:color="auto" w:fill="auto"/>
        <w:spacing w:before="0"/>
        <w:ind w:firstLine="740"/>
      </w:pPr>
      <w:r>
        <w:t>площадку для установки оборудования необходимо очистить от мусора, растительности и острых предметов, расположенных на поверхности площадки или выступающих из нее.</w:t>
      </w:r>
    </w:p>
    <w:p w:rsidR="007B1F80" w:rsidRDefault="00464EBF">
      <w:pPr>
        <w:pStyle w:val="Bodytext20"/>
        <w:numPr>
          <w:ilvl w:val="0"/>
          <w:numId w:val="1"/>
        </w:numPr>
        <w:shd w:val="clear" w:color="auto" w:fill="auto"/>
        <w:tabs>
          <w:tab w:val="left" w:pos="1051"/>
        </w:tabs>
        <w:spacing w:before="0"/>
        <w:ind w:firstLine="740"/>
      </w:pPr>
      <w:r>
        <w:t xml:space="preserve">Вопросы обеспечения безопасности отразить в договоре аренды. </w:t>
      </w:r>
      <w:r>
        <w:rPr>
          <w:rStyle w:val="Bodytext2Bold"/>
        </w:rPr>
        <w:t>Обязанности владельца передвижного аттракциона.</w:t>
      </w:r>
    </w:p>
    <w:p w:rsidR="007B1F80" w:rsidRDefault="00464EBF" w:rsidP="00AF12EB">
      <w:pPr>
        <w:pStyle w:val="Bodytext20"/>
        <w:numPr>
          <w:ilvl w:val="0"/>
          <w:numId w:val="2"/>
        </w:numPr>
        <w:shd w:val="clear" w:color="auto" w:fill="auto"/>
        <w:tabs>
          <w:tab w:val="left" w:pos="706"/>
        </w:tabs>
        <w:spacing w:before="0"/>
        <w:ind w:firstLine="420"/>
      </w:pPr>
      <w:r>
        <w:t xml:space="preserve">Владелец оборудования обязан обеспечить установку и </w:t>
      </w:r>
      <w:r w:rsidR="00AF12EB">
        <w:t>э</w:t>
      </w:r>
      <w:r>
        <w:t>ксплуатацию оборудования в строгом соответствии с требованиями: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«Правил по обеспечению промышленной безопасности аттракционов», утвержденных постановлением МЧС Республики Беларусь от 27 12.2019 № 67;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«Правил технической безопасности «Требования к эксплуатации оборудования игрового надувного, надувных аттракционов», утвержденных постановлением МЧС Республики Беларусь от 17.11.2022 № 64 (далее - правила) - для игрового надувного оборудования;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эксплуатационных документов.</w:t>
      </w:r>
    </w:p>
    <w:p w:rsidR="007B1F80" w:rsidRDefault="00464EBF" w:rsidP="00AF12EB">
      <w:pPr>
        <w:pStyle w:val="Bodytext20"/>
        <w:numPr>
          <w:ilvl w:val="0"/>
          <w:numId w:val="2"/>
        </w:numPr>
        <w:shd w:val="clear" w:color="auto" w:fill="auto"/>
        <w:tabs>
          <w:tab w:val="left" w:pos="1369"/>
        </w:tabs>
        <w:spacing w:before="0"/>
        <w:ind w:firstLine="740"/>
      </w:pPr>
      <w:r>
        <w:t>Установку оборудования осуществлять только на подготовленную площадку, соответствующую требованиям правил;</w:t>
      </w:r>
    </w:p>
    <w:p w:rsidR="007B1F80" w:rsidRDefault="00464EBF" w:rsidP="00AF12EB">
      <w:pPr>
        <w:pStyle w:val="Bodytext20"/>
        <w:numPr>
          <w:ilvl w:val="0"/>
          <w:numId w:val="2"/>
        </w:numPr>
        <w:shd w:val="clear" w:color="auto" w:fill="auto"/>
        <w:tabs>
          <w:tab w:val="left" w:pos="1369"/>
        </w:tabs>
        <w:spacing w:before="0"/>
        <w:ind w:firstLine="740"/>
      </w:pPr>
      <w:r>
        <w:t xml:space="preserve">После установки оборудования уведомить местный исполнительный и распорядительный орган (если таковой не является арендодателем) и </w:t>
      </w:r>
      <w:r w:rsidR="00AF12EB">
        <w:t>Витебское</w:t>
      </w:r>
      <w:r>
        <w:t xml:space="preserve"> областное управление Госпромнадзора (в случае установки регистрируемого аттракциона) для учета оборудования, установленного на соответствующей территории;</w:t>
      </w:r>
    </w:p>
    <w:p w:rsidR="007B1F80" w:rsidRDefault="00464EBF" w:rsidP="00AF12EB">
      <w:pPr>
        <w:pStyle w:val="Bodytext20"/>
        <w:numPr>
          <w:ilvl w:val="0"/>
          <w:numId w:val="2"/>
        </w:numPr>
        <w:shd w:val="clear" w:color="auto" w:fill="auto"/>
        <w:tabs>
          <w:tab w:val="left" w:pos="1369"/>
        </w:tabs>
        <w:spacing w:before="0"/>
        <w:ind w:firstLine="740"/>
      </w:pPr>
      <w:r>
        <w:t>Обеспечить наличие и ведение эксплуатационной документации, информационного стенда для пользователей у каждого аттракциона;</w:t>
      </w:r>
    </w:p>
    <w:p w:rsidR="007B1F80" w:rsidRDefault="00464EBF" w:rsidP="00AF12EB">
      <w:pPr>
        <w:pStyle w:val="Bodytext20"/>
        <w:numPr>
          <w:ilvl w:val="0"/>
          <w:numId w:val="2"/>
        </w:numPr>
        <w:shd w:val="clear" w:color="auto" w:fill="auto"/>
        <w:tabs>
          <w:tab w:val="left" w:pos="1051"/>
        </w:tabs>
        <w:spacing w:before="0"/>
        <w:ind w:firstLine="740"/>
      </w:pPr>
      <w:r>
        <w:t>Установить и обеспечить соблюдение порядка ежедневного контроля, технического обслуживания и ремонта оборудования исходя из требований эксплуатационных документов, Правил;</w:t>
      </w:r>
    </w:p>
    <w:p w:rsidR="007B1F80" w:rsidRDefault="00464EBF" w:rsidP="00AF12EB">
      <w:pPr>
        <w:pStyle w:val="Bodytext20"/>
        <w:numPr>
          <w:ilvl w:val="0"/>
          <w:numId w:val="2"/>
        </w:numPr>
        <w:shd w:val="clear" w:color="auto" w:fill="auto"/>
        <w:tabs>
          <w:tab w:val="left" w:pos="1369"/>
        </w:tabs>
        <w:spacing w:before="0"/>
        <w:ind w:firstLine="740"/>
      </w:pPr>
      <w:r>
        <w:t>Обеспечить приостановку эксплуатации оборудования самостоятельно и (или) по требованию (предписанию) уполномоченных должностных лиц в случае выявления предпосылок, обстоятельств, которые могут привести к аварии оборудования или непосредственно создают угрозу жизни и (или) здоровью людей.</w:t>
      </w:r>
    </w:p>
    <w:p w:rsidR="007B1F80" w:rsidRDefault="00464EBF" w:rsidP="00AF12EB">
      <w:pPr>
        <w:pStyle w:val="Bodytext20"/>
        <w:numPr>
          <w:ilvl w:val="0"/>
          <w:numId w:val="2"/>
        </w:numPr>
        <w:shd w:val="clear" w:color="auto" w:fill="auto"/>
        <w:tabs>
          <w:tab w:val="left" w:pos="1044"/>
        </w:tabs>
        <w:spacing w:before="0"/>
        <w:ind w:right="200" w:firstLine="740"/>
      </w:pPr>
      <w:r>
        <w:t>Владелец оборудования несет персональную ответственность за обеспечение безопасности, жизни и здоровья пользователей, при выполнении ими правил поведения на оборудовании.</w:t>
      </w:r>
    </w:p>
    <w:p w:rsidR="007B1F80" w:rsidRDefault="00464EBF" w:rsidP="00AF12EB">
      <w:pPr>
        <w:pStyle w:val="Bodytext20"/>
        <w:numPr>
          <w:ilvl w:val="0"/>
          <w:numId w:val="2"/>
        </w:numPr>
        <w:shd w:val="clear" w:color="auto" w:fill="auto"/>
        <w:tabs>
          <w:tab w:val="left" w:pos="1555"/>
        </w:tabs>
        <w:spacing w:before="0" w:after="296" w:line="346" w:lineRule="exact"/>
        <w:ind w:right="200" w:firstLine="740"/>
      </w:pPr>
      <w:r>
        <w:t xml:space="preserve">При эксплуатации аттракционов, поднадзорных Госпромнадзору, после установки на новом месте владелец должен осуществить допуск к эксплуатации в соответствии с требованиями </w:t>
      </w:r>
      <w:r>
        <w:lastRenderedPageBreak/>
        <w:t>Правил.</w:t>
      </w:r>
    </w:p>
    <w:p w:rsidR="007B1F80" w:rsidRDefault="00464EBF" w:rsidP="00AF12EB">
      <w:pPr>
        <w:pStyle w:val="Bodytext30"/>
        <w:shd w:val="clear" w:color="auto" w:fill="auto"/>
        <w:spacing w:after="0" w:line="350" w:lineRule="exact"/>
        <w:ind w:right="200" w:firstLine="740"/>
        <w:jc w:val="both"/>
      </w:pPr>
      <w:r>
        <w:t>Контроль за установкой и эксплуатацией передвижного аттракциона.</w:t>
      </w:r>
    </w:p>
    <w:p w:rsidR="007B1F80" w:rsidRDefault="00464EBF" w:rsidP="00AF12EB">
      <w:pPr>
        <w:pStyle w:val="Bodytext20"/>
        <w:numPr>
          <w:ilvl w:val="0"/>
          <w:numId w:val="3"/>
        </w:numPr>
        <w:shd w:val="clear" w:color="auto" w:fill="auto"/>
        <w:tabs>
          <w:tab w:val="left" w:pos="1230"/>
        </w:tabs>
        <w:spacing w:before="0"/>
        <w:ind w:right="200" w:firstLine="709"/>
      </w:pPr>
      <w:r>
        <w:t>Контроль за правильностью установки и эксплуатации</w:t>
      </w:r>
      <w:r w:rsidR="00AF12EB">
        <w:t xml:space="preserve"> </w:t>
      </w:r>
      <w:r>
        <w:t>оборудования организует местный исполнительный и распорядительный орган (базового или первичного территориального уровня), на территории которого установлено оборудования, для чего по получении уведомления от владельца об установке (либо получив сообщение из иных источников) в течение 3 рабочих дней организует первичное обследование рабочей группой</w:t>
      </w:r>
      <w:r w:rsidR="00AF12EB">
        <w:t xml:space="preserve"> с привлечением представителей Витебского </w:t>
      </w:r>
      <w:r>
        <w:t>областного управления Госпромнадзора,</w:t>
      </w:r>
      <w:r w:rsidR="00AF12EB">
        <w:t xml:space="preserve"> </w:t>
      </w:r>
      <w:r>
        <w:t>Госэнергогазнадзора, инспекции труда, Р(Г)ОЧС, ОВД и др. (при необходимости).</w:t>
      </w:r>
    </w:p>
    <w:p w:rsidR="007B1F80" w:rsidRDefault="00464EBF" w:rsidP="00AF12EB">
      <w:pPr>
        <w:pStyle w:val="Bodytext20"/>
        <w:numPr>
          <w:ilvl w:val="0"/>
          <w:numId w:val="3"/>
        </w:numPr>
        <w:shd w:val="clear" w:color="auto" w:fill="auto"/>
        <w:tabs>
          <w:tab w:val="left" w:pos="1044"/>
        </w:tabs>
        <w:spacing w:before="0"/>
        <w:ind w:right="200" w:firstLine="740"/>
      </w:pPr>
      <w:r>
        <w:t>При установке оборудования на короткий промежуток времени (праздник, массовые мероприятия) контроль организуется до начала проведения мероприятия.</w:t>
      </w:r>
    </w:p>
    <w:p w:rsidR="007B1F80" w:rsidRDefault="00464EBF" w:rsidP="00AF12EB">
      <w:pPr>
        <w:pStyle w:val="Bodytext20"/>
        <w:numPr>
          <w:ilvl w:val="0"/>
          <w:numId w:val="3"/>
        </w:numPr>
        <w:shd w:val="clear" w:color="auto" w:fill="auto"/>
        <w:tabs>
          <w:tab w:val="left" w:pos="1048"/>
        </w:tabs>
        <w:spacing w:before="0"/>
        <w:ind w:right="200" w:firstLine="740"/>
      </w:pPr>
      <w:r>
        <w:t>Периодический контроль организуется при необходимости, но не реже 1 раза в 3 месяца после установки.</w:t>
      </w:r>
    </w:p>
    <w:p w:rsidR="007B1F80" w:rsidRDefault="00464EBF" w:rsidP="00AF12EB">
      <w:pPr>
        <w:pStyle w:val="Bodytext20"/>
        <w:numPr>
          <w:ilvl w:val="0"/>
          <w:numId w:val="3"/>
        </w:numPr>
        <w:shd w:val="clear" w:color="auto" w:fill="auto"/>
        <w:tabs>
          <w:tab w:val="left" w:pos="1044"/>
        </w:tabs>
        <w:spacing w:before="0"/>
        <w:ind w:right="200" w:firstLine="740"/>
      </w:pPr>
      <w:r>
        <w:t>Осуществление контроля возможно в ходе работы мобильных групп местных исполнительных и распорядительных органов.</w:t>
      </w:r>
    </w:p>
    <w:p w:rsidR="007B1F80" w:rsidRDefault="00464EBF" w:rsidP="00AF12EB">
      <w:pPr>
        <w:pStyle w:val="Bodytext20"/>
        <w:numPr>
          <w:ilvl w:val="0"/>
          <w:numId w:val="3"/>
        </w:numPr>
        <w:shd w:val="clear" w:color="auto" w:fill="auto"/>
        <w:tabs>
          <w:tab w:val="left" w:pos="1058"/>
        </w:tabs>
        <w:spacing w:before="0"/>
        <w:ind w:firstLine="740"/>
      </w:pPr>
      <w:r>
        <w:t xml:space="preserve">При выявлении нарушений, представляющих угрозу жизни или здоровью граждан, рабочая группа предлагает владельцу эксплуатацию оборудования приостановить до полного устранения нарушений. </w:t>
      </w:r>
      <w:r>
        <w:rPr>
          <w:rStyle w:val="Bodytext2Bold"/>
        </w:rPr>
        <w:t>Обязанности владельца надувного аттракциона или игрового надувного оборудования.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Обязательно иметь при себе эксплуатационные документы (формуляр (паспорт), руководство по эксплуатации) изготовителя надувного аттракциона, оборудования игрового надувного (далее - надувной аттракцион) на русском языке;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журнал учета эксплуатации надувного аттракциона;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журнал учета технического обслуживания, ремонта и модификации надувного аттракциона;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правила пользования для пассажиров;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инструкция по эксплуатации надувного аттракциона;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инструкция по охране труда.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Для надувных аттракционов, изготовленных и выпущенных в обращение после 18.04.2018 дополнительно необходимо наличие следующих документов: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 xml:space="preserve">сертификат соответствия (для надувных аттракционов со степенью биомеханического риска </w:t>
      </w:r>
      <w:r>
        <w:rPr>
          <w:lang w:val="en-US" w:eastAsia="en-US" w:bidi="en-US"/>
        </w:rPr>
        <w:t>RB</w:t>
      </w:r>
      <w:r w:rsidRPr="00AF12EB">
        <w:rPr>
          <w:lang w:eastAsia="en-US" w:bidi="en-US"/>
        </w:rPr>
        <w:t xml:space="preserve">-1) </w:t>
      </w:r>
      <w:r>
        <w:t xml:space="preserve">или декларация о соответствии (для надувных аттракционов со степенями биомеханического риска </w:t>
      </w:r>
      <w:r>
        <w:rPr>
          <w:lang w:val="en-US" w:eastAsia="en-US" w:bidi="en-US"/>
        </w:rPr>
        <w:t>RB</w:t>
      </w:r>
      <w:r w:rsidRPr="00AF12EB">
        <w:rPr>
          <w:lang w:eastAsia="en-US" w:bidi="en-US"/>
        </w:rPr>
        <w:t xml:space="preserve">-2 </w:t>
      </w:r>
      <w:r>
        <w:t xml:space="preserve">или </w:t>
      </w:r>
      <w:r>
        <w:rPr>
          <w:lang w:val="en-US" w:eastAsia="en-US" w:bidi="en-US"/>
        </w:rPr>
        <w:lastRenderedPageBreak/>
        <w:t>RB</w:t>
      </w:r>
      <w:r w:rsidRPr="00AF12EB">
        <w:rPr>
          <w:lang w:eastAsia="en-US" w:bidi="en-US"/>
        </w:rPr>
        <w:t xml:space="preserve">-3) </w:t>
      </w:r>
      <w:r>
        <w:t>требованиям ТР ЕАЭС 038/2016;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информационная табличка (пункт 75 ТР ЕАЭС 038/2016);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маркировка единым знаком обращения продукции на рынке Евразийского экономического союза (пункты 133-135 ТР ЕАЭС 038/2016);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локальный правовой акт (решение ИП) о вводе надувного аттракциона в эксплуатацию в случаях, предусмотренных п.38 Правил.</w:t>
      </w:r>
    </w:p>
    <w:p w:rsidR="007B1F80" w:rsidRDefault="00464EBF" w:rsidP="00AF12EB">
      <w:pPr>
        <w:pStyle w:val="Bodytext30"/>
        <w:shd w:val="clear" w:color="auto" w:fill="auto"/>
        <w:spacing w:after="0" w:line="341" w:lineRule="exact"/>
        <w:ind w:firstLine="740"/>
        <w:jc w:val="both"/>
      </w:pPr>
      <w:r>
        <w:t>Основные требования к площадке под установку надувного аттракциона: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поверхность площадки должна быть ровной, допускается уклон не более 5% в любом направлении;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площадка должна быть очищена от мусора, острых и иных предметов, расположенных на ее поверхности или выступающих из нее;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от возможных опасностей (инженерные сети (коммуникации), здания, сооружения, деревья, иное) до надувного аттракциона должно быть не менее 2 м;</w:t>
      </w:r>
    </w:p>
    <w:p w:rsidR="007B1F80" w:rsidRDefault="00464EBF" w:rsidP="00AF12EB">
      <w:pPr>
        <w:pStyle w:val="Bodytext40"/>
        <w:shd w:val="clear" w:color="auto" w:fill="auto"/>
        <w:ind w:firstLine="740"/>
      </w:pPr>
      <w:r>
        <w:t>Справочно:</w:t>
      </w:r>
    </w:p>
    <w:p w:rsidR="007B1F80" w:rsidRDefault="00464EBF" w:rsidP="00AF12EB">
      <w:pPr>
        <w:pStyle w:val="Bodytext40"/>
        <w:shd w:val="clear" w:color="auto" w:fill="auto"/>
        <w:ind w:firstLine="740"/>
      </w:pPr>
      <w:r>
        <w:t>При выделении площадки (участка) должны быть оценены возможные опасности от инженерных сетей (коммуникаций). Организация, предоставившая площадку (участок), несет ответственность за безопасность предоставляемой площадки (участка), а также за возможные опасности, связанные с инженерными сетями (коммуникациями), расположенными на данной площадке (участке), и должна гарантировать, что они не будут задеты или повреждены при эксплуатации надувного аттракциона.</w:t>
      </w:r>
    </w:p>
    <w:p w:rsidR="007B1F80" w:rsidRDefault="00464EBF" w:rsidP="00AF12EB">
      <w:pPr>
        <w:pStyle w:val="Bodytext30"/>
        <w:shd w:val="clear" w:color="auto" w:fill="auto"/>
        <w:spacing w:after="0" w:line="341" w:lineRule="exact"/>
        <w:ind w:firstLine="740"/>
        <w:jc w:val="both"/>
      </w:pPr>
      <w:r>
        <w:t>При установке надувного аттракциона должно быть учтено следующее: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соблюдение безопасных расстояний для пассажиров, посетителей и обслуживающего персонала, при этом вход и выход должны обеспечивать их безопасную эвакуацию;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высота сплошной стены, напротив которой непосредственно установлен надувной аттракцион, должна быть на 2 м выше самой высокой точки верхней платформы надувного аттракциона;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минимальное расстояние от ограждения до наружных стен надувного аттракциона должно быть не менее 1,8 м, а с открытой стороны - не менее 3,5 м;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в ограждении должен быть проход шириной не менее 1 м; компрессор должен располагаться на расстоянии не менее 1,2 м от наружной стены или на расстоянии не менее 2,5 м от открытой стороны надувного аттракциона;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 xml:space="preserve">органы управления электрооборудованием, электрические шкафы, источники питания, выключатели и иные части, находящиеся под напряжением, должны быть защищены от возможного контакта и от </w:t>
      </w:r>
      <w:r>
        <w:lastRenderedPageBreak/>
        <w:t>несанкционированного доступа;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вокруг надувного аттракциона должна быть предусмотрена зона, свободная от любых препятствий, шириной не менее 1,8 м;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с любой открытой стороны надувного аттракциона должна быть зона приземления размером не менее 1,2 м.</w:t>
      </w:r>
    </w:p>
    <w:p w:rsidR="007B1F80" w:rsidRDefault="00464EBF" w:rsidP="00AF12EB">
      <w:pPr>
        <w:pStyle w:val="Bodytext20"/>
        <w:shd w:val="clear" w:color="auto" w:fill="auto"/>
        <w:spacing w:before="0"/>
        <w:ind w:left="740"/>
      </w:pPr>
      <w:r>
        <w:rPr>
          <w:rStyle w:val="Bodytext2Bold"/>
        </w:rPr>
        <w:t xml:space="preserve">Не допускается крепление надувных аттракционов: </w:t>
      </w:r>
      <w:r>
        <w:t>за транспортные средства; за систему ограничения доступа; между собой;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к опорам линий электропередачи, стойкам рекламных щитов и иным предметам, не предназначенным для фиксации надувного аттракциона;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двух и более швартовочных элементов за один элемент (узел) крепления.</w:t>
      </w:r>
    </w:p>
    <w:p w:rsidR="007B1F80" w:rsidRDefault="00464EBF" w:rsidP="00AF12EB">
      <w:pPr>
        <w:pStyle w:val="Bodytext30"/>
        <w:shd w:val="clear" w:color="auto" w:fill="auto"/>
        <w:spacing w:after="0" w:line="341" w:lineRule="exact"/>
        <w:ind w:firstLine="740"/>
        <w:jc w:val="both"/>
      </w:pPr>
      <w:r>
        <w:t>Требования к персоналу, допускаемому к обслуживанию надувного аттракциона: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персонал должен быть не моложе 18 лет, иметь профессию рабочего «дежурный аттракционов и игрового оборудования», квалификационную группу по электробезопасности не ниже II и легко распознаваемую экипировку (сигнальный жилет);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 xml:space="preserve">один дежурный надувного аттракциона должен контролировать работу только одной единицы надувного аттракциона (пункт 44 Правил). </w:t>
      </w:r>
      <w:r>
        <w:rPr>
          <w:rStyle w:val="Bodytext2Bold"/>
        </w:rPr>
        <w:t>На рабочем месте дежурного должно быть: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инструкция по эксплуатации надувного аттракциона (ознакомление под роспись);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инструкция по охране труда (ознакомление под роспись); средства для измерения роста, веса пассажиров; средства эвакуации пассажиров (если это предусмотрено эксплуатационными документами);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аптечка первой помощи универсальная;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средства сигнализации (звуковой или световой) в целях привлечения внимания пассажиров; средства связи.</w:t>
      </w:r>
    </w:p>
    <w:p w:rsidR="007B1F80" w:rsidRDefault="00464EBF" w:rsidP="00AF12EB">
      <w:pPr>
        <w:pStyle w:val="Bodytext30"/>
        <w:shd w:val="clear" w:color="auto" w:fill="auto"/>
        <w:spacing w:after="0" w:line="341" w:lineRule="exact"/>
        <w:ind w:firstLine="740"/>
        <w:jc w:val="both"/>
      </w:pPr>
      <w:r>
        <w:t>Владелец (эксплуатант) надувного аттракциона обязан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обеспечить безопасную эксплуатацию надувного аттракциона;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установить и обеспечить порядок ежедневных, ежегодных и полных проверок, допуска к эксплуатации, технического обслуживания и ремонта ведения журналов;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обеспечить проведение технического обслуживания согласно требованиям главы 4 Правил;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обеспечить проведение технического освидетельствования согласно требованиям главы 5 Правил;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не допускать эксплуатацию надувного аттракциона в случаях, предусмотренных пунктом 51 Правил.</w:t>
      </w:r>
    </w:p>
    <w:p w:rsidR="007B1F80" w:rsidRDefault="00464EBF" w:rsidP="00AF12EB">
      <w:pPr>
        <w:pStyle w:val="Bodytext30"/>
        <w:shd w:val="clear" w:color="auto" w:fill="auto"/>
        <w:spacing w:after="0" w:line="341" w:lineRule="exact"/>
        <w:ind w:firstLine="740"/>
        <w:jc w:val="both"/>
      </w:pPr>
      <w:r>
        <w:t>Эксплуатация надувного аттракциона не допускается: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 xml:space="preserve">при отсутствии персонала, соответствующего требованиям Правил; </w:t>
      </w:r>
      <w:r>
        <w:lastRenderedPageBreak/>
        <w:t>без постоянного контроля за надувным аттракционом, когда он открыт для пассажиров и посетителей;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при наличии повреждений тканевой основы, ниточных швов оболочки, масляных пятен, пятен неизвестного происхождения;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при отсутствии или повреждении одного и более швартовочных элементов, узла крепления, элемента крепления;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при отсутствии установленного перед входом на надувной аттракцион информационного стенда, оформленного в соответствии с требованиями пункта 55 Правил;</w:t>
      </w:r>
    </w:p>
    <w:p w:rsidR="007B1F80" w:rsidRDefault="00464EBF" w:rsidP="00AF12EB">
      <w:pPr>
        <w:pStyle w:val="Bodytext20"/>
        <w:shd w:val="clear" w:color="auto" w:fill="auto"/>
        <w:spacing w:before="0"/>
        <w:ind w:firstLine="740"/>
      </w:pPr>
      <w:r>
        <w:t>при погодных условиях (атмосферные осадки (град, дождь), ветер), которые могут повлиять на условия эксплуатации, устойчивость надувного аттракциона, безопасность людей (эксплуатировать надувной аттракцион при скорости ветра, превышающей 10 м/с, запрещается);</w:t>
      </w:r>
    </w:p>
    <w:p w:rsidR="007B1F80" w:rsidRDefault="00464EBF" w:rsidP="00AF12EB">
      <w:pPr>
        <w:pStyle w:val="Bodytext20"/>
        <w:shd w:val="clear" w:color="auto" w:fill="auto"/>
        <w:tabs>
          <w:tab w:val="left" w:pos="3586"/>
          <w:tab w:val="left" w:pos="5593"/>
          <w:tab w:val="left" w:pos="7839"/>
        </w:tabs>
        <w:spacing w:before="0"/>
        <w:ind w:firstLine="740"/>
      </w:pPr>
      <w:r>
        <w:t>при отсутствии</w:t>
      </w:r>
      <w:r>
        <w:tab/>
        <w:t>сведений о</w:t>
      </w:r>
      <w:r>
        <w:tab/>
        <w:t>проведенном</w:t>
      </w:r>
      <w:r>
        <w:tab/>
        <w:t>техническом</w:t>
      </w:r>
    </w:p>
    <w:p w:rsidR="007B1F80" w:rsidRDefault="00464EBF" w:rsidP="00AF12EB">
      <w:pPr>
        <w:pStyle w:val="Bodytext20"/>
        <w:shd w:val="clear" w:color="auto" w:fill="auto"/>
        <w:spacing w:before="0"/>
      </w:pPr>
      <w:r>
        <w:t>освидетельствовании, а также при отрицательных результатах технического освидетельствования надувного аттракциона.</w:t>
      </w:r>
    </w:p>
    <w:p w:rsidR="007B1F80" w:rsidRDefault="00464EBF" w:rsidP="00AF12EB">
      <w:pPr>
        <w:pStyle w:val="Bodytext40"/>
        <w:shd w:val="clear" w:color="auto" w:fill="auto"/>
        <w:ind w:firstLine="740"/>
      </w:pPr>
      <w:r>
        <w:t>Справочно:</w:t>
      </w:r>
    </w:p>
    <w:p w:rsidR="007B1F80" w:rsidRDefault="00464EBF" w:rsidP="00AF12EB">
      <w:pPr>
        <w:pStyle w:val="Bodytext40"/>
        <w:shd w:val="clear" w:color="auto" w:fill="auto"/>
        <w:spacing w:line="346" w:lineRule="exact"/>
        <w:ind w:firstLine="740"/>
      </w:pPr>
      <w:r>
        <w:t>Техническое освидетельствование проводится не реже 1 раза в 12 месяцев и после межсезонного хранения.</w:t>
      </w:r>
    </w:p>
    <w:p w:rsidR="007B1F80" w:rsidRDefault="00464EBF" w:rsidP="00AF12EB">
      <w:pPr>
        <w:pStyle w:val="Bodytext40"/>
        <w:shd w:val="clear" w:color="auto" w:fill="auto"/>
        <w:spacing w:line="346" w:lineRule="exact"/>
        <w:ind w:firstLine="740"/>
      </w:pPr>
      <w:r>
        <w:t>В соответствии с информацией Белорусского государственного центра аккредитации (БГЦА) на 11.04.2024 на проведение технического освидетельствования надувных аттракционов аккредитованы:</w:t>
      </w:r>
    </w:p>
    <w:p w:rsidR="007B1F80" w:rsidRDefault="00464EBF" w:rsidP="00AF12EB">
      <w:pPr>
        <w:pStyle w:val="Bodytext40"/>
        <w:shd w:val="clear" w:color="auto" w:fill="auto"/>
        <w:tabs>
          <w:tab w:val="left" w:pos="7839"/>
        </w:tabs>
        <w:ind w:firstLine="740"/>
      </w:pPr>
      <w:r>
        <w:t>научно</w:t>
      </w:r>
      <w:r>
        <w:rPr>
          <w:rStyle w:val="Bodytext414pt"/>
          <w:i/>
          <w:iCs/>
        </w:rPr>
        <w:t>-</w:t>
      </w:r>
      <w:r>
        <w:t>технический производственный кооператив «Наука» (адрес: 212016, г. Могилев, ул. Актюбинская, 11,</w:t>
      </w:r>
      <w:r>
        <w:tab/>
        <w:t>оф.1, тел.:</w:t>
      </w:r>
    </w:p>
    <w:p w:rsidR="007B1F80" w:rsidRDefault="00464EBF" w:rsidP="00AF12EB">
      <w:pPr>
        <w:pStyle w:val="Bodytext40"/>
        <w:shd w:val="clear" w:color="auto" w:fill="auto"/>
      </w:pPr>
      <w:r>
        <w:rPr>
          <w:rStyle w:val="Bodytext41"/>
          <w:i/>
          <w:iCs/>
        </w:rPr>
        <w:t>+375</w:t>
      </w:r>
      <w:r>
        <w:rPr>
          <w:rStyle w:val="Bodytext414pt"/>
          <w:i/>
          <w:iCs/>
        </w:rPr>
        <w:t xml:space="preserve"> </w:t>
      </w:r>
      <w:r>
        <w:rPr>
          <w:rStyle w:val="Bodytext41"/>
          <w:i/>
          <w:iCs/>
        </w:rPr>
        <w:t>222</w:t>
      </w:r>
      <w:r>
        <w:rPr>
          <w:rStyle w:val="Bodytext414pt"/>
          <w:i/>
          <w:iCs/>
        </w:rPr>
        <w:t xml:space="preserve"> </w:t>
      </w:r>
      <w:r>
        <w:rPr>
          <w:rStyle w:val="Bodytext41"/>
          <w:i/>
          <w:iCs/>
        </w:rPr>
        <w:t>72</w:t>
      </w:r>
      <w:r>
        <w:rPr>
          <w:rStyle w:val="Bodytext414pt"/>
          <w:i/>
          <w:iCs/>
        </w:rPr>
        <w:t xml:space="preserve"> </w:t>
      </w:r>
      <w:r>
        <w:rPr>
          <w:rStyle w:val="Bodytext41"/>
          <w:i/>
          <w:iCs/>
        </w:rPr>
        <w:t>20</w:t>
      </w:r>
      <w:r>
        <w:rPr>
          <w:rStyle w:val="Bodytext414pt"/>
          <w:i/>
          <w:iCs/>
        </w:rPr>
        <w:t xml:space="preserve"> </w:t>
      </w:r>
      <w:r>
        <w:t xml:space="preserve">91; моб. тел.: +375 </w:t>
      </w:r>
      <w:r>
        <w:rPr>
          <w:rStyle w:val="Bodytext41"/>
          <w:i/>
          <w:iCs/>
        </w:rPr>
        <w:t>296</w:t>
      </w:r>
      <w:r>
        <w:rPr>
          <w:rStyle w:val="Bodytext414pt"/>
          <w:i/>
          <w:iCs/>
        </w:rPr>
        <w:t xml:space="preserve"> </w:t>
      </w:r>
      <w:r>
        <w:rPr>
          <w:rStyle w:val="Bodytext41"/>
          <w:i/>
          <w:iCs/>
        </w:rPr>
        <w:t>32</w:t>
      </w:r>
      <w:r>
        <w:rPr>
          <w:rStyle w:val="Bodytext414pt"/>
          <w:i/>
          <w:iCs/>
        </w:rPr>
        <w:t xml:space="preserve"> </w:t>
      </w:r>
      <w:r>
        <w:rPr>
          <w:rStyle w:val="Bodytext41"/>
          <w:i/>
          <w:iCs/>
        </w:rPr>
        <w:t>65</w:t>
      </w:r>
      <w:r>
        <w:rPr>
          <w:rStyle w:val="Bodytext414pt"/>
          <w:i/>
          <w:iCs/>
        </w:rPr>
        <w:t xml:space="preserve"> </w:t>
      </w:r>
      <w:r>
        <w:rPr>
          <w:rStyle w:val="Bodytext41"/>
          <w:i/>
          <w:iCs/>
        </w:rPr>
        <w:t>81</w:t>
      </w:r>
      <w:r>
        <w:rPr>
          <w:rStyle w:val="Bodytext414pt"/>
          <w:i/>
          <w:iCs/>
        </w:rPr>
        <w:t>);</w:t>
      </w:r>
    </w:p>
    <w:p w:rsidR="007B1F80" w:rsidRDefault="00464EBF" w:rsidP="00AF12EB">
      <w:pPr>
        <w:pStyle w:val="Bodytext40"/>
        <w:shd w:val="clear" w:color="auto" w:fill="auto"/>
        <w:spacing w:after="304" w:line="346" w:lineRule="exact"/>
        <w:ind w:right="180" w:firstLine="740"/>
      </w:pPr>
      <w:r>
        <w:t>общество с ограниченной о</w:t>
      </w:r>
      <w:r w:rsidR="00AF12EB">
        <w:t>тветственностью «МБК инжиниринг»</w:t>
      </w:r>
      <w:r>
        <w:t xml:space="preserve"> (адрес: 212030, г. Могилев, ул. Первомайская, д.42Б, оф.12, тел.: </w:t>
      </w:r>
      <w:r>
        <w:rPr>
          <w:rStyle w:val="Bodytext41"/>
          <w:i/>
          <w:iCs/>
        </w:rPr>
        <w:t>+375</w:t>
      </w:r>
      <w:r>
        <w:rPr>
          <w:rStyle w:val="Bodytext414pt"/>
          <w:i/>
          <w:iCs/>
        </w:rPr>
        <w:t xml:space="preserve"> </w:t>
      </w:r>
      <w:r>
        <w:rPr>
          <w:rStyle w:val="Bodytext41"/>
          <w:i/>
          <w:iCs/>
        </w:rPr>
        <w:t>222</w:t>
      </w:r>
      <w:r>
        <w:rPr>
          <w:rStyle w:val="Bodytext414pt"/>
          <w:i/>
          <w:iCs/>
        </w:rPr>
        <w:t xml:space="preserve"> </w:t>
      </w:r>
      <w:r>
        <w:rPr>
          <w:rStyle w:val="Bodytext41"/>
          <w:i/>
          <w:iCs/>
        </w:rPr>
        <w:t>776601</w:t>
      </w:r>
      <w:r>
        <w:rPr>
          <w:rStyle w:val="Bodytext414pt"/>
          <w:i/>
          <w:iCs/>
        </w:rPr>
        <w:t>).</w:t>
      </w:r>
    </w:p>
    <w:sectPr w:rsidR="007B1F80">
      <w:pgSz w:w="11900" w:h="16840"/>
      <w:pgMar w:top="1167" w:right="696" w:bottom="1181" w:left="16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A69" w:rsidRDefault="00A07A69">
      <w:r>
        <w:separator/>
      </w:r>
    </w:p>
  </w:endnote>
  <w:endnote w:type="continuationSeparator" w:id="0">
    <w:p w:rsidR="00A07A69" w:rsidRDefault="00A0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A69" w:rsidRDefault="00A07A69"/>
  </w:footnote>
  <w:footnote w:type="continuationSeparator" w:id="0">
    <w:p w:rsidR="00A07A69" w:rsidRDefault="00A07A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E3565"/>
    <w:multiLevelType w:val="multilevel"/>
    <w:tmpl w:val="4A787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03496F"/>
    <w:multiLevelType w:val="multilevel"/>
    <w:tmpl w:val="F87A0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0060E1"/>
    <w:multiLevelType w:val="multilevel"/>
    <w:tmpl w:val="EAE03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80"/>
    <w:rsid w:val="00464EBF"/>
    <w:rsid w:val="007B1F80"/>
    <w:rsid w:val="00A07A69"/>
    <w:rsid w:val="00AC54D1"/>
    <w:rsid w:val="00A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82651-5CB5-46EA-9381-5437AFFD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414pt">
    <w:name w:val="Body text (4) + 14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20"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2025-06-19T14:08:00Z</dcterms:created>
  <dcterms:modified xsi:type="dcterms:W3CDTF">2025-06-19T14:08:00Z</dcterms:modified>
</cp:coreProperties>
</file>